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89487">
      <w:pPr>
        <w:rPr>
          <w:rFonts w:hint="eastAsia"/>
          <w:color w:val="auto"/>
          <w:highlight w:val="none"/>
        </w:rPr>
      </w:pPr>
    </w:p>
    <w:p w14:paraId="3000267B">
      <w:pPr>
        <w:rPr>
          <w:color w:val="auto"/>
          <w:highlight w:val="none"/>
        </w:rPr>
      </w:pPr>
    </w:p>
    <w:p w14:paraId="08E8C465">
      <w:pPr>
        <w:rPr>
          <w:color w:val="auto"/>
          <w:highlight w:val="none"/>
        </w:rPr>
      </w:pPr>
    </w:p>
    <w:p w14:paraId="2596A230">
      <w:pPr>
        <w:pStyle w:val="42"/>
        <w:spacing w:after="0" w:line="1300" w:lineRule="exact"/>
        <w:ind w:left="0" w:leftChars="0" w:firstLine="0" w:firstLineChars="0"/>
        <w:jc w:val="center"/>
        <w:rPr>
          <w:rFonts w:ascii="Times New Roman" w:hAnsi="Times New Roman"/>
          <w:b/>
          <w:bCs/>
          <w:color w:val="auto"/>
          <w:sz w:val="96"/>
          <w:szCs w:val="96"/>
          <w:highlight w:val="none"/>
        </w:rPr>
      </w:pPr>
      <w:r>
        <w:rPr>
          <w:rFonts w:hint="eastAsia" w:ascii="Times New Roman" w:hAnsi="Times New Roman"/>
          <w:b/>
          <w:bCs/>
          <w:color w:val="auto"/>
          <w:sz w:val="96"/>
          <w:szCs w:val="96"/>
          <w:highlight w:val="none"/>
        </w:rPr>
        <w:t>政府采购</w:t>
      </w:r>
      <w:r>
        <w:rPr>
          <w:rFonts w:ascii="Times New Roman" w:hAnsi="Times New Roman"/>
          <w:b/>
          <w:bCs/>
          <w:color w:val="auto"/>
          <w:sz w:val="96"/>
          <w:szCs w:val="96"/>
          <w:highlight w:val="none"/>
        </w:rPr>
        <w:t>文件</w:t>
      </w:r>
    </w:p>
    <w:p w14:paraId="364FAD3F">
      <w:pPr>
        <w:jc w:val="center"/>
        <w:rPr>
          <w:color w:val="auto"/>
          <w:sz w:val="52"/>
          <w:szCs w:val="52"/>
          <w:highlight w:val="none"/>
        </w:rPr>
      </w:pPr>
      <w:r>
        <w:rPr>
          <w:color w:val="auto"/>
          <w:sz w:val="52"/>
          <w:szCs w:val="52"/>
          <w:highlight w:val="none"/>
        </w:rPr>
        <w:t>【货物类】</w:t>
      </w:r>
    </w:p>
    <w:p w14:paraId="54B48DA0">
      <w:pPr>
        <w:rPr>
          <w:color w:val="auto"/>
          <w:sz w:val="44"/>
          <w:szCs w:val="44"/>
          <w:highlight w:val="none"/>
        </w:rPr>
      </w:pPr>
    </w:p>
    <w:p w14:paraId="5368E6C6">
      <w:pPr>
        <w:pStyle w:val="42"/>
        <w:ind w:left="0" w:leftChars="0" w:firstLine="0" w:firstLineChars="0"/>
        <w:rPr>
          <w:rFonts w:ascii="Times New Roman" w:hAnsi="Times New Roman"/>
          <w:color w:val="auto"/>
          <w:highlight w:val="none"/>
        </w:rPr>
      </w:pPr>
    </w:p>
    <w:p w14:paraId="498993A9">
      <w:pPr>
        <w:pStyle w:val="42"/>
        <w:ind w:left="0" w:leftChars="0" w:firstLine="0" w:firstLineChars="0"/>
        <w:jc w:val="center"/>
        <w:rPr>
          <w:rFonts w:hint="eastAsia" w:ascii="Times New Roman" w:hAnsi="Times New Roman"/>
          <w:color w:val="auto"/>
          <w:highlight w:val="none"/>
        </w:rPr>
      </w:pPr>
      <w:r>
        <w:rPr>
          <w:rFonts w:ascii="Times New Roman" w:hAnsi="Times New Roman"/>
          <w:b/>
          <w:color w:val="auto"/>
          <w:sz w:val="44"/>
          <w:szCs w:val="44"/>
          <w:highlight w:val="none"/>
        </w:rPr>
        <w:t>项目编号：</w:t>
      </w:r>
      <w:r>
        <w:rPr>
          <w:rFonts w:hint="eastAsia" w:ascii="Times New Roman" w:hAnsi="Times New Roman"/>
          <w:b/>
          <w:color w:val="auto"/>
          <w:sz w:val="44"/>
          <w:szCs w:val="44"/>
          <w:highlight w:val="none"/>
          <w:lang w:eastAsia="zh-CN"/>
        </w:rPr>
        <w:t>3324-DH2531H3234-D</w:t>
      </w:r>
    </w:p>
    <w:p w14:paraId="1E492288">
      <w:pPr>
        <w:jc w:val="center"/>
        <w:rPr>
          <w:rFonts w:hint="default" w:eastAsia="宋体"/>
          <w:b/>
          <w:color w:val="auto"/>
          <w:sz w:val="44"/>
          <w:szCs w:val="44"/>
          <w:highlight w:val="none"/>
          <w:lang w:val="en-US" w:eastAsia="zh-CN"/>
        </w:rPr>
      </w:pPr>
      <w:r>
        <w:rPr>
          <w:b/>
          <w:color w:val="auto"/>
          <w:sz w:val="44"/>
          <w:szCs w:val="44"/>
          <w:highlight w:val="none"/>
        </w:rPr>
        <w:t>项目名称：</w:t>
      </w:r>
      <w:r>
        <w:rPr>
          <w:rFonts w:hint="eastAsia"/>
          <w:b/>
          <w:color w:val="auto"/>
          <w:sz w:val="44"/>
          <w:szCs w:val="44"/>
          <w:highlight w:val="none"/>
          <w:lang w:val="en-US" w:eastAsia="zh-CN"/>
        </w:rPr>
        <w:t>深圳市儿童医院通用类设备一批项目(重新招标)</w:t>
      </w:r>
    </w:p>
    <w:p w14:paraId="5E38B008">
      <w:pPr>
        <w:rPr>
          <w:b/>
          <w:color w:val="auto"/>
          <w:sz w:val="44"/>
          <w:szCs w:val="44"/>
          <w:highlight w:val="none"/>
        </w:rPr>
      </w:pPr>
    </w:p>
    <w:p w14:paraId="19D75BF4">
      <w:pPr>
        <w:pStyle w:val="42"/>
        <w:rPr>
          <w:rFonts w:ascii="Times New Roman" w:hAnsi="Times New Roman"/>
          <w:color w:val="auto"/>
          <w:highlight w:val="none"/>
        </w:rPr>
      </w:pPr>
    </w:p>
    <w:p w14:paraId="4F3357AB">
      <w:pPr>
        <w:jc w:val="center"/>
        <w:rPr>
          <w:b/>
          <w:color w:val="auto"/>
          <w:sz w:val="52"/>
          <w:szCs w:val="52"/>
          <w:highlight w:val="none"/>
        </w:rPr>
      </w:pPr>
      <w:r>
        <w:rPr>
          <w:color w:val="auto"/>
          <w:highlight w:val="none"/>
        </w:rPr>
        <w:drawing>
          <wp:anchor distT="0" distB="0" distL="114300" distR="114300" simplePos="0" relativeHeight="251660288" behindDoc="1" locked="0" layoutInCell="1" allowOverlap="1">
            <wp:simplePos x="0" y="0"/>
            <wp:positionH relativeFrom="column">
              <wp:posOffset>1734185</wp:posOffset>
            </wp:positionH>
            <wp:positionV relativeFrom="paragraph">
              <wp:posOffset>277495</wp:posOffset>
            </wp:positionV>
            <wp:extent cx="2633980" cy="2094230"/>
            <wp:effectExtent l="0" t="0" r="0" b="0"/>
            <wp:wrapTight wrapText="bothSides">
              <wp:wrapPolygon>
                <wp:start x="0" y="0"/>
                <wp:lineTo x="0" y="21417"/>
                <wp:lineTo x="21402" y="21417"/>
                <wp:lineTo x="21402" y="0"/>
                <wp:lineTo x="0" y="0"/>
              </wp:wrapPolygon>
            </wp:wrapTight>
            <wp:docPr id="2" name="图片 1"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公司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33980" cy="2094230"/>
                    </a:xfrm>
                    <a:prstGeom prst="rect">
                      <a:avLst/>
                    </a:prstGeom>
                    <a:noFill/>
                    <a:ln>
                      <a:noFill/>
                    </a:ln>
                  </pic:spPr>
                </pic:pic>
              </a:graphicData>
            </a:graphic>
          </wp:anchor>
        </w:drawing>
      </w:r>
    </w:p>
    <w:p w14:paraId="3212ED9D">
      <w:pPr>
        <w:rPr>
          <w:b/>
          <w:color w:val="auto"/>
          <w:sz w:val="52"/>
          <w:szCs w:val="52"/>
          <w:highlight w:val="none"/>
        </w:rPr>
      </w:pPr>
    </w:p>
    <w:p w14:paraId="6D7CB6F0">
      <w:pPr>
        <w:rPr>
          <w:color w:val="auto"/>
          <w:sz w:val="52"/>
          <w:szCs w:val="52"/>
          <w:highlight w:val="none"/>
        </w:rPr>
      </w:pPr>
    </w:p>
    <w:p w14:paraId="65B767AB">
      <w:pPr>
        <w:jc w:val="center"/>
        <w:rPr>
          <w:b/>
          <w:color w:val="auto"/>
          <w:sz w:val="44"/>
          <w:szCs w:val="44"/>
          <w:highlight w:val="none"/>
        </w:rPr>
      </w:pPr>
    </w:p>
    <w:p w14:paraId="3CCF9F76">
      <w:pPr>
        <w:jc w:val="center"/>
        <w:rPr>
          <w:b/>
          <w:color w:val="auto"/>
          <w:sz w:val="44"/>
          <w:szCs w:val="44"/>
          <w:highlight w:val="none"/>
        </w:rPr>
      </w:pPr>
    </w:p>
    <w:p w14:paraId="549606D2">
      <w:pPr>
        <w:jc w:val="center"/>
        <w:rPr>
          <w:b/>
          <w:color w:val="auto"/>
          <w:sz w:val="44"/>
          <w:szCs w:val="44"/>
          <w:highlight w:val="none"/>
        </w:rPr>
      </w:pPr>
    </w:p>
    <w:p w14:paraId="537ED274">
      <w:pPr>
        <w:jc w:val="center"/>
        <w:rPr>
          <w:b/>
          <w:color w:val="auto"/>
          <w:sz w:val="44"/>
          <w:szCs w:val="44"/>
          <w:highlight w:val="none"/>
        </w:rPr>
      </w:pPr>
    </w:p>
    <w:p w14:paraId="3B4504B4">
      <w:pPr>
        <w:jc w:val="center"/>
        <w:rPr>
          <w:b/>
          <w:color w:val="auto"/>
          <w:sz w:val="44"/>
          <w:szCs w:val="44"/>
          <w:highlight w:val="none"/>
        </w:rPr>
      </w:pPr>
    </w:p>
    <w:p w14:paraId="57AEEB6E">
      <w:pPr>
        <w:jc w:val="center"/>
        <w:rPr>
          <w:b/>
          <w:color w:val="auto"/>
          <w:sz w:val="44"/>
          <w:szCs w:val="44"/>
          <w:highlight w:val="none"/>
        </w:rPr>
      </w:pPr>
      <w:r>
        <w:rPr>
          <w:b/>
          <w:color w:val="auto"/>
          <w:sz w:val="44"/>
          <w:szCs w:val="44"/>
          <w:highlight w:val="none"/>
        </w:rPr>
        <w:t>深圳市东海国际招标有限公司</w:t>
      </w:r>
    </w:p>
    <w:p w14:paraId="1A8D31CC">
      <w:pPr>
        <w:pStyle w:val="42"/>
        <w:rPr>
          <w:rFonts w:ascii="Times New Roman" w:hAnsi="Times New Roman"/>
          <w:color w:val="auto"/>
          <w:highlight w:val="none"/>
        </w:rPr>
      </w:pPr>
    </w:p>
    <w:p w14:paraId="3697DAD2">
      <w:pPr>
        <w:jc w:val="center"/>
        <w:rPr>
          <w:color w:val="auto"/>
          <w:sz w:val="36"/>
          <w:highlight w:val="none"/>
        </w:rPr>
        <w:sectPr>
          <w:headerReference r:id="rId3" w:type="default"/>
          <w:footerReference r:id="rId4" w:type="even"/>
          <w:pgSz w:w="11906" w:h="16838"/>
          <w:pgMar w:top="1134" w:right="1134" w:bottom="1134" w:left="1134" w:header="851" w:footer="992" w:gutter="0"/>
          <w:cols w:space="720" w:num="1"/>
          <w:docGrid w:type="lines" w:linePitch="312" w:charSpace="0"/>
        </w:sectPr>
      </w:pPr>
      <w:r>
        <w:rPr>
          <w:b/>
          <w:bCs/>
          <w:color w:val="auto"/>
          <w:sz w:val="44"/>
          <w:szCs w:val="44"/>
          <w:highlight w:val="none"/>
        </w:rPr>
        <w:t>二〇二</w:t>
      </w:r>
      <w:r>
        <w:rPr>
          <w:rFonts w:hint="eastAsia"/>
          <w:b/>
          <w:bCs/>
          <w:color w:val="auto"/>
          <w:sz w:val="44"/>
          <w:szCs w:val="44"/>
          <w:highlight w:val="none"/>
          <w:lang w:val="en-US" w:eastAsia="zh-CN"/>
        </w:rPr>
        <w:t>五</w:t>
      </w:r>
      <w:r>
        <w:rPr>
          <w:b/>
          <w:bCs/>
          <w:color w:val="auto"/>
          <w:sz w:val="44"/>
          <w:szCs w:val="44"/>
          <w:highlight w:val="none"/>
        </w:rPr>
        <w:t xml:space="preserve">年 </w:t>
      </w:r>
      <w:r>
        <w:rPr>
          <w:b/>
          <w:snapToGrid w:val="0"/>
          <w:color w:val="auto"/>
          <w:sz w:val="44"/>
          <w:szCs w:val="44"/>
          <w:highlight w:val="none"/>
        </w:rPr>
        <w:t>· 中国深圳</w:t>
      </w:r>
    </w:p>
    <w:p w14:paraId="227D222A">
      <w:pPr>
        <w:pStyle w:val="2"/>
        <w:rPr>
          <w:color w:val="auto"/>
          <w:sz w:val="30"/>
          <w:szCs w:val="30"/>
          <w:highlight w:val="none"/>
        </w:rPr>
      </w:pPr>
      <w:r>
        <w:rPr>
          <w:rFonts w:hint="eastAsia" w:cs="黑体"/>
          <w:color w:val="auto"/>
          <w:sz w:val="30"/>
          <w:szCs w:val="30"/>
          <w:highlight w:val="none"/>
        </w:rPr>
        <w:t>警示条款</w:t>
      </w:r>
    </w:p>
    <w:p w14:paraId="429F6E74">
      <w:pPr>
        <w:shd w:val="clear" w:color="auto" w:fill="auto"/>
        <w:ind w:firstLine="660" w:firstLineChars="300"/>
        <w:rPr>
          <w:rFonts w:ascii="宋体" w:hAnsi="宋体"/>
          <w:color w:val="auto"/>
          <w:sz w:val="22"/>
          <w:szCs w:val="22"/>
          <w:highlight w:val="none"/>
        </w:rPr>
      </w:pPr>
      <w:r>
        <w:rPr>
          <w:rFonts w:hint="eastAsia" w:ascii="宋体" w:hAnsi="宋体"/>
          <w:color w:val="auto"/>
          <w:sz w:val="22"/>
          <w:szCs w:val="22"/>
          <w:highlight w:val="none"/>
        </w:rPr>
        <w:t>一、</w:t>
      </w:r>
      <w:r>
        <w:rPr>
          <w:rFonts w:hint="eastAsia" w:ascii="宋体" w:hAnsi="宋体"/>
          <w:b/>
          <w:bCs/>
          <w:color w:val="auto"/>
          <w:sz w:val="22"/>
          <w:szCs w:val="22"/>
          <w:highlight w:val="none"/>
        </w:rPr>
        <w:t>《深圳经济特区政府采购条例》第五十七条</w:t>
      </w:r>
      <w:r>
        <w:rPr>
          <w:rFonts w:hint="eastAsia" w:ascii="宋体" w:hAnsi="宋体"/>
          <w:color w:val="auto"/>
          <w:sz w:val="22"/>
          <w:szCs w:val="22"/>
          <w:highlight w:val="none"/>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6A42D0C6">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（一）在采购活动中应当回避而未回避的；</w:t>
      </w:r>
    </w:p>
    <w:p w14:paraId="534683CE">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（二）未按本条例规定签订、履行采购合同，造成严重后果的；</w:t>
      </w:r>
    </w:p>
    <w:p w14:paraId="47522440">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（三）隐瞒真实情况，提供虚假资料的；</w:t>
      </w:r>
    </w:p>
    <w:p w14:paraId="26316D2C">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（四）以非法手段排斥其他供应商参与竞争的；</w:t>
      </w:r>
    </w:p>
    <w:p w14:paraId="08D8A651">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（五）与其他采购参加人串通投标的；</w:t>
      </w:r>
    </w:p>
    <w:p w14:paraId="4F10FCB6">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（六）恶意投诉的；</w:t>
      </w:r>
    </w:p>
    <w:p w14:paraId="562FB896">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（七）向采购项目相关人行贿或者提供其他不当利益的；</w:t>
      </w:r>
    </w:p>
    <w:p w14:paraId="1113DD51">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（八）阻碍、抗拒主管部门监督检查的；</w:t>
      </w:r>
    </w:p>
    <w:p w14:paraId="6344C304">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（九）其他违反本条例规定的行为。</w:t>
      </w:r>
    </w:p>
    <w:p w14:paraId="6FF9E3A2">
      <w:pPr>
        <w:shd w:val="clear" w:color="auto" w:fill="auto"/>
        <w:ind w:firstLine="442" w:firstLineChars="200"/>
        <w:rPr>
          <w:rFonts w:hint="eastAsia" w:ascii="宋体" w:hAnsi="宋体"/>
          <w:color w:val="auto"/>
          <w:sz w:val="22"/>
          <w:szCs w:val="22"/>
          <w:highlight w:val="none"/>
        </w:rPr>
      </w:pPr>
      <w:r>
        <w:rPr>
          <w:rFonts w:hint="eastAsia" w:ascii="宋体" w:hAnsi="宋体"/>
          <w:b/>
          <w:bCs/>
          <w:color w:val="auto"/>
          <w:sz w:val="22"/>
          <w:szCs w:val="22"/>
          <w:highlight w:val="none"/>
        </w:rPr>
        <w:t>二、《深圳经济特区政府采购条例实施细则》第七十五条 </w:t>
      </w:r>
      <w:r>
        <w:rPr>
          <w:rFonts w:hint="eastAsia" w:ascii="宋体" w:hAnsi="宋体"/>
          <w:color w:val="auto"/>
          <w:sz w:val="22"/>
          <w:szCs w:val="22"/>
          <w:highlight w:val="none"/>
        </w:rPr>
        <w:t>供应商有下列情形的，属于采购条例所称的串通投标行为，按照采购条例第五十七条有关规定处理：</w:t>
      </w:r>
    </w:p>
    <w:p w14:paraId="1F99A9FE">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（一）投标供应商之间相互约定给予未中标的供应商利益补偿；</w:t>
      </w:r>
    </w:p>
    <w:p w14:paraId="098A0A04">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（二）不同投标供应商的法定代表人、主要经营负责人、项目投标授权代表人、项目负责人、主要技术人员为同一人、属同一单位或者在同一单位缴纳社会保险；</w:t>
      </w:r>
    </w:p>
    <w:p w14:paraId="0085AA98">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（三）不同投标供应商的投标文件由同一单位或者同一人编制，或者由同一人分阶段参与编制的；</w:t>
      </w:r>
    </w:p>
    <w:p w14:paraId="0D878587">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（四）不同投标供应商的投标文件或部分投标文件相互混装；</w:t>
      </w:r>
    </w:p>
    <w:p w14:paraId="25D38E4F">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（五）不同投标供应商的投标文件内容存在非正常一致；</w:t>
      </w:r>
    </w:p>
    <w:p w14:paraId="4948DC04">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（六）由同一单位工作人员为两家以上（含两家）供应商进行同一项投标活动的；</w:t>
      </w:r>
    </w:p>
    <w:p w14:paraId="69453261">
      <w:pPr>
        <w:shd w:val="clear" w:color="auto" w:fill="auto"/>
        <w:ind w:firstLine="440" w:firstLineChars="200"/>
        <w:rPr>
          <w:rFonts w:ascii="宋体" w:hAnsi="宋体"/>
          <w:color w:val="auto"/>
          <w:sz w:val="22"/>
          <w:szCs w:val="22"/>
          <w:highlight w:val="none"/>
        </w:rPr>
      </w:pPr>
      <w:r>
        <w:rPr>
          <w:rFonts w:hint="eastAsia" w:ascii="宋体" w:hAnsi="宋体"/>
          <w:color w:val="auto"/>
          <w:sz w:val="22"/>
          <w:szCs w:val="22"/>
          <w:highlight w:val="none"/>
        </w:rPr>
        <w:t>（七）主管部门依照法律、法规认定的其他情形。</w:t>
      </w:r>
    </w:p>
    <w:p w14:paraId="76AA09CA">
      <w:pPr>
        <w:shd w:val="clear" w:color="auto" w:fill="auto"/>
        <w:ind w:firstLine="442" w:firstLineChars="200"/>
        <w:rPr>
          <w:rFonts w:hint="eastAsia" w:ascii="宋体" w:hAnsi="宋体"/>
          <w:color w:val="auto"/>
          <w:sz w:val="22"/>
          <w:szCs w:val="22"/>
          <w:highlight w:val="none"/>
        </w:rPr>
      </w:pPr>
      <w:r>
        <w:rPr>
          <w:rFonts w:hint="eastAsia" w:ascii="宋体" w:hAnsi="宋体"/>
          <w:b/>
          <w:bCs/>
          <w:color w:val="auto"/>
          <w:sz w:val="22"/>
          <w:szCs w:val="22"/>
          <w:highlight w:val="none"/>
        </w:rPr>
        <w:t>三、《深圳经济特区政府采购条例实施细则》第七十七条 </w:t>
      </w:r>
      <w:r>
        <w:rPr>
          <w:rFonts w:hint="eastAsia" w:ascii="宋体" w:hAnsi="宋体"/>
          <w:color w:val="auto"/>
          <w:sz w:val="22"/>
          <w:szCs w:val="22"/>
          <w:highlight w:val="none"/>
        </w:rPr>
        <w:t>供应商有下列情形之一的，属于隐瞒真实情况，提供虚假资料，按照采购条例第五十七条的有关规定处理：</w:t>
      </w:r>
    </w:p>
    <w:p w14:paraId="6FB4744F">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（一）通过转让或者租借等方式从其他单位获取资格或者资质证书投标的；</w:t>
      </w:r>
    </w:p>
    <w:p w14:paraId="4F3037E4">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（二）由其他单位或者其他单位负责人在投标供应商编制的投标文件上加盖印章或者签字的；</w:t>
      </w:r>
    </w:p>
    <w:p w14:paraId="172CF376">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（三）项目负责人或者主要技术人员不是本单位人员的；</w:t>
      </w:r>
    </w:p>
    <w:p w14:paraId="09E817E2">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（四）投标保证金不是从投标供应商基本账户转出的；</w:t>
      </w:r>
    </w:p>
    <w:p w14:paraId="4D2FA08F">
      <w:pPr>
        <w:shd w:val="clear" w:color="auto" w:fill="auto"/>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（五）其他隐瞒真实情况、提供虚假资料的行为。</w:t>
      </w:r>
    </w:p>
    <w:p w14:paraId="1D4F56B9">
      <w:pPr>
        <w:shd w:val="clear" w:color="auto" w:fill="auto"/>
        <w:ind w:firstLine="440" w:firstLineChars="200"/>
        <w:jc w:val="left"/>
        <w:rPr>
          <w:rFonts w:hint="eastAsia" w:ascii="宋体" w:hAnsi="宋体"/>
          <w:color w:val="auto"/>
          <w:sz w:val="22"/>
          <w:szCs w:val="22"/>
          <w:highlight w:val="none"/>
        </w:rPr>
      </w:pPr>
      <w:r>
        <w:rPr>
          <w:rFonts w:hint="eastAsia" w:ascii="宋体" w:hAnsi="宋体"/>
          <w:color w:val="auto"/>
          <w:sz w:val="22"/>
          <w:szCs w:val="22"/>
          <w:highlight w:val="none"/>
        </w:rPr>
        <w:t>投标供应商不能提供项目负责人或者主要技术人员的劳动合同、社会保险等劳动关系证明材料的，视为存在前款第（三）项规定的情形。</w:t>
      </w:r>
    </w:p>
    <w:p w14:paraId="468FC272">
      <w:pPr>
        <w:keepNext w:val="0"/>
        <w:keepLines w:val="0"/>
        <w:pageBreakBefore w:val="0"/>
        <w:widowControl/>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b/>
          <w:bCs w:val="0"/>
          <w:color w:val="auto"/>
          <w:kern w:val="2"/>
          <w:sz w:val="22"/>
          <w:szCs w:val="22"/>
          <w:highlight w:val="none"/>
          <w:lang w:val="en-US" w:eastAsia="zh-CN"/>
        </w:rPr>
      </w:pPr>
      <w:r>
        <w:rPr>
          <w:rFonts w:hint="eastAsia" w:ascii="宋体" w:hAnsi="宋体" w:eastAsia="宋体" w:cs="宋体"/>
          <w:b/>
          <w:color w:val="auto"/>
          <w:kern w:val="2"/>
          <w:sz w:val="22"/>
          <w:szCs w:val="22"/>
          <w:highlight w:val="none"/>
          <w:lang w:val="en-US" w:eastAsia="zh-CN" w:bidi="ar-SA"/>
        </w:rPr>
        <w:t>四、</w:t>
      </w:r>
      <w:r>
        <w:rPr>
          <w:rFonts w:hint="eastAsia" w:ascii="宋体" w:hAnsi="宋体" w:eastAsia="宋体" w:cs="宋体"/>
          <w:b/>
          <w:bCs w:val="0"/>
          <w:color w:val="auto"/>
          <w:kern w:val="2"/>
          <w:sz w:val="22"/>
          <w:szCs w:val="22"/>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7711"/>
      </w:tblGrid>
      <w:tr w14:paraId="2096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75" w:type="pct"/>
            <w:noWrap w:val="0"/>
            <w:vAlign w:val="center"/>
          </w:tcPr>
          <w:p w14:paraId="6F4218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序号</w:t>
            </w:r>
          </w:p>
        </w:tc>
        <w:tc>
          <w:tcPr>
            <w:tcW w:w="4524" w:type="pct"/>
            <w:noWrap w:val="0"/>
            <w:vAlign w:val="center"/>
          </w:tcPr>
          <w:p w14:paraId="72C8C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供应商参与投标禁止情形</w:t>
            </w:r>
          </w:p>
        </w:tc>
      </w:tr>
      <w:tr w14:paraId="6E38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75" w:type="pct"/>
            <w:noWrap w:val="0"/>
            <w:vAlign w:val="center"/>
          </w:tcPr>
          <w:p w14:paraId="0D504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4524" w:type="pct"/>
            <w:noWrap w:val="0"/>
            <w:vAlign w:val="center"/>
          </w:tcPr>
          <w:p w14:paraId="63F83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2"/>
                <w:szCs w:val="22"/>
                <w:highlight w:val="none"/>
                <w:lang w:val="en-US" w:eastAsia="zh-CN"/>
              </w:rPr>
              <w:t>同一人、属同一单位或者在同一单位缴纳社会保险</w:t>
            </w:r>
            <w:r>
              <w:rPr>
                <w:rFonts w:hint="eastAsia" w:ascii="宋体" w:hAnsi="宋体" w:eastAsia="宋体" w:cs="宋体"/>
                <w:color w:val="auto"/>
                <w:sz w:val="22"/>
                <w:szCs w:val="22"/>
                <w:highlight w:val="none"/>
                <w:lang w:val="en-US" w:eastAsia="zh-CN"/>
              </w:rPr>
              <w:t>。</w:t>
            </w:r>
          </w:p>
        </w:tc>
      </w:tr>
      <w:tr w14:paraId="3C55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5" w:type="pct"/>
            <w:noWrap w:val="0"/>
            <w:vAlign w:val="center"/>
          </w:tcPr>
          <w:p w14:paraId="5A5877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p>
        </w:tc>
        <w:tc>
          <w:tcPr>
            <w:tcW w:w="4524" w:type="pct"/>
            <w:noWrap w:val="0"/>
            <w:vAlign w:val="center"/>
          </w:tcPr>
          <w:p w14:paraId="2931E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参与本项目政府采购活动时，与其他投标供应商存在单位负责人为</w:t>
            </w:r>
            <w:r>
              <w:rPr>
                <w:rFonts w:hint="eastAsia" w:ascii="宋体" w:hAnsi="宋体" w:eastAsia="宋体" w:cs="宋体"/>
                <w:b/>
                <w:bCs/>
                <w:color w:val="auto"/>
                <w:sz w:val="22"/>
                <w:szCs w:val="22"/>
                <w:highlight w:val="none"/>
                <w:lang w:val="en-US" w:eastAsia="zh-CN"/>
              </w:rPr>
              <w:t>同一人或直接控股、管理关系</w:t>
            </w:r>
            <w:r>
              <w:rPr>
                <w:rFonts w:hint="eastAsia" w:ascii="宋体" w:hAnsi="宋体" w:eastAsia="宋体" w:cs="宋体"/>
                <w:color w:val="auto"/>
                <w:sz w:val="22"/>
                <w:szCs w:val="22"/>
                <w:highlight w:val="none"/>
                <w:lang w:val="en-US" w:eastAsia="zh-CN"/>
              </w:rPr>
              <w:t>。</w:t>
            </w:r>
          </w:p>
        </w:tc>
      </w:tr>
      <w:tr w14:paraId="7DF5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noWrap w:val="0"/>
            <w:vAlign w:val="center"/>
          </w:tcPr>
          <w:p w14:paraId="6BB1B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4524" w:type="pct"/>
            <w:noWrap w:val="0"/>
            <w:vAlign w:val="center"/>
          </w:tcPr>
          <w:p w14:paraId="09468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与其他投标供应商的投标文件或部分投标文件</w:t>
            </w:r>
            <w:r>
              <w:rPr>
                <w:rFonts w:hint="eastAsia" w:ascii="宋体" w:hAnsi="宋体" w:eastAsia="宋体" w:cs="宋体"/>
                <w:b/>
                <w:bCs/>
                <w:color w:val="auto"/>
                <w:sz w:val="22"/>
                <w:szCs w:val="22"/>
                <w:highlight w:val="none"/>
                <w:lang w:val="en-US" w:eastAsia="zh-CN"/>
              </w:rPr>
              <w:t>相互混装或存在非正常一致</w:t>
            </w:r>
            <w:r>
              <w:rPr>
                <w:rFonts w:hint="eastAsia" w:ascii="宋体" w:hAnsi="宋体" w:eastAsia="宋体" w:cs="宋体"/>
                <w:color w:val="auto"/>
                <w:sz w:val="22"/>
                <w:szCs w:val="22"/>
                <w:highlight w:val="none"/>
                <w:lang w:val="en-US" w:eastAsia="zh-CN"/>
              </w:rPr>
              <w:t>。</w:t>
            </w:r>
          </w:p>
        </w:tc>
      </w:tr>
      <w:tr w14:paraId="4045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475" w:type="pct"/>
            <w:noWrap w:val="0"/>
            <w:vAlign w:val="center"/>
          </w:tcPr>
          <w:p w14:paraId="7F26BA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w:t>
            </w:r>
          </w:p>
        </w:tc>
        <w:tc>
          <w:tcPr>
            <w:tcW w:w="4524" w:type="pct"/>
            <w:noWrap w:val="0"/>
            <w:vAlign w:val="center"/>
          </w:tcPr>
          <w:p w14:paraId="08B22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与其他投标供应商的投标文件由</w:t>
            </w:r>
            <w:r>
              <w:rPr>
                <w:rFonts w:hint="eastAsia" w:ascii="宋体" w:hAnsi="宋体" w:eastAsia="宋体" w:cs="宋体"/>
                <w:b/>
                <w:bCs/>
                <w:color w:val="auto"/>
                <w:sz w:val="22"/>
                <w:szCs w:val="22"/>
                <w:highlight w:val="none"/>
                <w:lang w:val="en-US" w:eastAsia="zh-CN"/>
              </w:rPr>
              <w:t>同一单位或者同一人编制</w:t>
            </w:r>
            <w:r>
              <w:rPr>
                <w:rFonts w:hint="eastAsia" w:ascii="宋体" w:hAnsi="宋体" w:eastAsia="宋体" w:cs="宋体"/>
                <w:color w:val="auto"/>
                <w:sz w:val="22"/>
                <w:szCs w:val="22"/>
                <w:highlight w:val="none"/>
                <w:lang w:val="en-US" w:eastAsia="zh-CN"/>
              </w:rPr>
              <w:t>，或者使用</w:t>
            </w:r>
            <w:r>
              <w:rPr>
                <w:rFonts w:hint="eastAsia" w:ascii="宋体" w:hAnsi="宋体" w:eastAsia="宋体" w:cs="宋体"/>
                <w:b/>
                <w:bCs/>
                <w:color w:val="auto"/>
                <w:sz w:val="22"/>
                <w:szCs w:val="22"/>
                <w:highlight w:val="none"/>
                <w:lang w:val="en-US" w:eastAsia="zh-CN"/>
              </w:rPr>
              <w:t>同一设备编制</w:t>
            </w:r>
            <w:r>
              <w:rPr>
                <w:rFonts w:hint="eastAsia" w:ascii="宋体" w:hAnsi="宋体" w:eastAsia="宋体" w:cs="宋体"/>
                <w:color w:val="auto"/>
                <w:sz w:val="22"/>
                <w:szCs w:val="22"/>
                <w:highlight w:val="none"/>
                <w:lang w:val="en-US" w:eastAsia="zh-CN"/>
              </w:rPr>
              <w:t>（“文件制作机器码”“文件创建标识码”一致）。</w:t>
            </w:r>
          </w:p>
        </w:tc>
      </w:tr>
      <w:tr w14:paraId="2A25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475" w:type="pct"/>
            <w:noWrap w:val="0"/>
            <w:vAlign w:val="center"/>
          </w:tcPr>
          <w:p w14:paraId="76E41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p>
        </w:tc>
        <w:tc>
          <w:tcPr>
            <w:tcW w:w="4524" w:type="pct"/>
            <w:noWrap w:val="0"/>
            <w:vAlign w:val="center"/>
          </w:tcPr>
          <w:p w14:paraId="3AB3B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提供</w:t>
            </w:r>
            <w:r>
              <w:rPr>
                <w:rFonts w:hint="eastAsia" w:ascii="宋体" w:hAnsi="宋体" w:eastAsia="宋体" w:cs="宋体"/>
                <w:b/>
                <w:bCs/>
                <w:color w:val="auto"/>
                <w:sz w:val="22"/>
                <w:szCs w:val="22"/>
                <w:highlight w:val="none"/>
                <w:lang w:val="en-US" w:eastAsia="zh-CN"/>
              </w:rPr>
              <w:t>未经出具机构核实</w:t>
            </w:r>
            <w:r>
              <w:rPr>
                <w:rFonts w:hint="eastAsia" w:ascii="宋体" w:hAnsi="宋体" w:eastAsia="宋体" w:cs="宋体"/>
                <w:color w:val="auto"/>
                <w:sz w:val="22"/>
                <w:szCs w:val="22"/>
                <w:highlight w:val="none"/>
                <w:lang w:val="en-US" w:eastAsia="zh-CN"/>
              </w:rPr>
              <w:t>的虚假的检验检测报告、业绩材料、社保缴纳证明、学历学位证书、职称认证证书等材料。</w:t>
            </w:r>
          </w:p>
        </w:tc>
      </w:tr>
      <w:tr w14:paraId="729E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475" w:type="pct"/>
            <w:noWrap w:val="0"/>
            <w:vAlign w:val="center"/>
          </w:tcPr>
          <w:p w14:paraId="693D9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w:t>
            </w:r>
          </w:p>
        </w:tc>
        <w:tc>
          <w:tcPr>
            <w:tcW w:w="4524" w:type="pct"/>
            <w:noWrap w:val="0"/>
            <w:vAlign w:val="center"/>
          </w:tcPr>
          <w:p w14:paraId="7D690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擅自将投标密钥</w:t>
            </w:r>
            <w:r>
              <w:rPr>
                <w:rFonts w:hint="eastAsia" w:ascii="宋体" w:hAnsi="宋体" w:eastAsia="宋体" w:cs="宋体"/>
                <w:color w:val="auto"/>
                <w:sz w:val="22"/>
                <w:szCs w:val="22"/>
                <w:highlight w:val="none"/>
                <w:lang w:eastAsia="zh-CN"/>
              </w:rPr>
              <w:t>或</w:t>
            </w:r>
            <w:r>
              <w:rPr>
                <w:rFonts w:hint="eastAsia" w:ascii="宋体" w:hAnsi="宋体" w:eastAsia="宋体" w:cs="宋体"/>
                <w:color w:val="auto"/>
                <w:sz w:val="22"/>
                <w:szCs w:val="22"/>
                <w:highlight w:val="none"/>
                <w:lang w:val="en-US" w:eastAsia="zh-CN"/>
              </w:rPr>
              <w:t>电子营业执照出借他人使用或未妥善保管。</w:t>
            </w:r>
          </w:p>
        </w:tc>
      </w:tr>
    </w:tbl>
    <w:p w14:paraId="030F4B33">
      <w:pPr>
        <w:jc w:val="center"/>
        <w:rPr>
          <w:b/>
          <w:color w:val="auto"/>
          <w:sz w:val="32"/>
          <w:szCs w:val="32"/>
          <w:highlight w:val="none"/>
        </w:rPr>
      </w:pPr>
      <w:r>
        <w:rPr>
          <w:b/>
          <w:color w:val="auto"/>
          <w:sz w:val="32"/>
          <w:szCs w:val="32"/>
          <w:highlight w:val="none"/>
        </w:rPr>
        <w:br w:type="page"/>
      </w:r>
      <w:r>
        <w:rPr>
          <w:b/>
          <w:color w:val="auto"/>
          <w:sz w:val="32"/>
          <w:szCs w:val="32"/>
          <w:highlight w:val="none"/>
        </w:rPr>
        <w:t>目   录</w:t>
      </w:r>
    </w:p>
    <w:p w14:paraId="72BB2F4B">
      <w:pPr>
        <w:rPr>
          <w:b/>
          <w:color w:val="auto"/>
          <w:sz w:val="24"/>
          <w:highlight w:val="none"/>
        </w:rPr>
      </w:pPr>
    </w:p>
    <w:p w14:paraId="2A696755">
      <w:pPr>
        <w:jc w:val="center"/>
        <w:rPr>
          <w:b/>
          <w:color w:val="auto"/>
          <w:sz w:val="24"/>
          <w:highlight w:val="none"/>
        </w:rPr>
      </w:pPr>
      <w:r>
        <w:rPr>
          <w:b/>
          <w:color w:val="auto"/>
          <w:sz w:val="24"/>
          <w:highlight w:val="none"/>
        </w:rPr>
        <w:t>第一册  专用条款</w:t>
      </w:r>
    </w:p>
    <w:p w14:paraId="05E50A9C">
      <w:pPr>
        <w:rPr>
          <w:color w:val="auto"/>
          <w:szCs w:val="21"/>
          <w:highlight w:val="none"/>
        </w:rPr>
      </w:pPr>
    </w:p>
    <w:p w14:paraId="58CED20B">
      <w:pPr>
        <w:rPr>
          <w:color w:val="auto"/>
          <w:szCs w:val="21"/>
          <w:highlight w:val="none"/>
        </w:rPr>
      </w:pPr>
      <w:r>
        <w:rPr>
          <w:color w:val="auto"/>
          <w:szCs w:val="21"/>
          <w:highlight w:val="none"/>
        </w:rPr>
        <w:t>关键信息</w:t>
      </w:r>
    </w:p>
    <w:p w14:paraId="695F703B">
      <w:pPr>
        <w:rPr>
          <w:color w:val="auto"/>
          <w:szCs w:val="21"/>
          <w:highlight w:val="none"/>
        </w:rPr>
      </w:pPr>
      <w:r>
        <w:rPr>
          <w:color w:val="auto"/>
          <w:szCs w:val="21"/>
          <w:highlight w:val="none"/>
        </w:rPr>
        <w:t xml:space="preserve">第一章  </w:t>
      </w:r>
      <w:r>
        <w:rPr>
          <w:rFonts w:hint="eastAsia"/>
          <w:color w:val="auto"/>
          <w:szCs w:val="21"/>
          <w:highlight w:val="none"/>
        </w:rPr>
        <w:t>招标</w:t>
      </w:r>
      <w:r>
        <w:rPr>
          <w:color w:val="auto"/>
          <w:szCs w:val="21"/>
          <w:highlight w:val="none"/>
        </w:rPr>
        <w:t>公告</w:t>
      </w:r>
    </w:p>
    <w:p w14:paraId="1967CFBC">
      <w:pPr>
        <w:rPr>
          <w:color w:val="auto"/>
          <w:szCs w:val="21"/>
          <w:highlight w:val="none"/>
        </w:rPr>
      </w:pPr>
      <w:r>
        <w:rPr>
          <w:color w:val="auto"/>
          <w:szCs w:val="21"/>
          <w:highlight w:val="none"/>
        </w:rPr>
        <w:t>第二章  招标项目需求</w:t>
      </w:r>
    </w:p>
    <w:p w14:paraId="2BD2B6B7">
      <w:pPr>
        <w:rPr>
          <w:color w:val="auto"/>
          <w:szCs w:val="21"/>
          <w:highlight w:val="none"/>
        </w:rPr>
      </w:pPr>
      <w:r>
        <w:rPr>
          <w:color w:val="auto"/>
          <w:szCs w:val="21"/>
          <w:highlight w:val="none"/>
        </w:rPr>
        <w:t>第三章  投标文件格式、附件</w:t>
      </w:r>
    </w:p>
    <w:p w14:paraId="5E584426">
      <w:pPr>
        <w:rPr>
          <w:color w:val="auto"/>
          <w:szCs w:val="21"/>
          <w:highlight w:val="none"/>
        </w:rPr>
      </w:pPr>
      <w:r>
        <w:rPr>
          <w:color w:val="auto"/>
          <w:szCs w:val="21"/>
          <w:highlight w:val="none"/>
        </w:rPr>
        <w:t>第四章  政府采购合同的签订、履行及验收</w:t>
      </w:r>
    </w:p>
    <w:p w14:paraId="35561393">
      <w:pPr>
        <w:rPr>
          <w:b/>
          <w:color w:val="auto"/>
          <w:sz w:val="24"/>
          <w:highlight w:val="none"/>
        </w:rPr>
      </w:pPr>
    </w:p>
    <w:p w14:paraId="78FC2340">
      <w:pPr>
        <w:jc w:val="center"/>
        <w:rPr>
          <w:b/>
          <w:color w:val="auto"/>
          <w:sz w:val="24"/>
          <w:highlight w:val="none"/>
        </w:rPr>
      </w:pPr>
      <w:r>
        <w:rPr>
          <w:b/>
          <w:color w:val="auto"/>
          <w:sz w:val="24"/>
          <w:highlight w:val="none"/>
        </w:rPr>
        <w:t>第二册  通用条款</w:t>
      </w:r>
    </w:p>
    <w:p w14:paraId="4D5176B9">
      <w:pPr>
        <w:rPr>
          <w:color w:val="auto"/>
          <w:szCs w:val="21"/>
          <w:highlight w:val="none"/>
        </w:rPr>
      </w:pPr>
    </w:p>
    <w:p w14:paraId="6A140AD1">
      <w:pPr>
        <w:rPr>
          <w:color w:val="auto"/>
          <w:szCs w:val="21"/>
          <w:highlight w:val="none"/>
        </w:rPr>
      </w:pPr>
      <w:r>
        <w:rPr>
          <w:color w:val="auto"/>
          <w:szCs w:val="21"/>
          <w:highlight w:val="none"/>
        </w:rPr>
        <w:t>第一章 总则</w:t>
      </w:r>
    </w:p>
    <w:p w14:paraId="36A7AE80">
      <w:pPr>
        <w:rPr>
          <w:color w:val="auto"/>
          <w:szCs w:val="21"/>
          <w:highlight w:val="none"/>
        </w:rPr>
      </w:pPr>
      <w:r>
        <w:rPr>
          <w:color w:val="auto"/>
          <w:szCs w:val="21"/>
          <w:highlight w:val="none"/>
        </w:rPr>
        <w:t>第二章 采购文件</w:t>
      </w:r>
    </w:p>
    <w:p w14:paraId="2B958294">
      <w:pPr>
        <w:rPr>
          <w:color w:val="auto"/>
          <w:szCs w:val="21"/>
          <w:highlight w:val="none"/>
        </w:rPr>
      </w:pPr>
      <w:r>
        <w:rPr>
          <w:color w:val="auto"/>
          <w:szCs w:val="21"/>
          <w:highlight w:val="none"/>
        </w:rPr>
        <w:t>第三章 投标文件的编制</w:t>
      </w:r>
    </w:p>
    <w:p w14:paraId="6EFCF795">
      <w:pPr>
        <w:rPr>
          <w:color w:val="auto"/>
          <w:szCs w:val="21"/>
          <w:highlight w:val="none"/>
        </w:rPr>
      </w:pPr>
      <w:r>
        <w:rPr>
          <w:color w:val="auto"/>
          <w:szCs w:val="21"/>
          <w:highlight w:val="none"/>
        </w:rPr>
        <w:t>第四章 投标文件的递交</w:t>
      </w:r>
    </w:p>
    <w:p w14:paraId="7E066409">
      <w:pPr>
        <w:rPr>
          <w:color w:val="auto"/>
          <w:szCs w:val="21"/>
          <w:highlight w:val="none"/>
        </w:rPr>
      </w:pPr>
      <w:r>
        <w:rPr>
          <w:color w:val="auto"/>
          <w:szCs w:val="21"/>
          <w:highlight w:val="none"/>
        </w:rPr>
        <w:t>第五章 开标</w:t>
      </w:r>
    </w:p>
    <w:p w14:paraId="241D7FB8">
      <w:pPr>
        <w:rPr>
          <w:color w:val="auto"/>
          <w:szCs w:val="21"/>
          <w:highlight w:val="none"/>
        </w:rPr>
      </w:pPr>
      <w:r>
        <w:rPr>
          <w:color w:val="auto"/>
          <w:szCs w:val="21"/>
          <w:highlight w:val="none"/>
        </w:rPr>
        <w:t>第六章 评标要求</w:t>
      </w:r>
    </w:p>
    <w:p w14:paraId="65E88BD2">
      <w:pPr>
        <w:rPr>
          <w:color w:val="auto"/>
          <w:szCs w:val="21"/>
          <w:highlight w:val="none"/>
        </w:rPr>
      </w:pPr>
      <w:r>
        <w:rPr>
          <w:color w:val="auto"/>
          <w:szCs w:val="21"/>
          <w:highlight w:val="none"/>
        </w:rPr>
        <w:t>第七章 评标程序及评标方法</w:t>
      </w:r>
    </w:p>
    <w:p w14:paraId="67A46CC0">
      <w:pPr>
        <w:rPr>
          <w:color w:val="auto"/>
          <w:szCs w:val="21"/>
          <w:highlight w:val="none"/>
        </w:rPr>
      </w:pPr>
      <w:r>
        <w:rPr>
          <w:color w:val="auto"/>
          <w:szCs w:val="21"/>
          <w:highlight w:val="none"/>
        </w:rPr>
        <w:t>第八章 定标及公示</w:t>
      </w:r>
    </w:p>
    <w:p w14:paraId="3DF41A44">
      <w:pPr>
        <w:rPr>
          <w:color w:val="auto"/>
          <w:szCs w:val="21"/>
          <w:highlight w:val="none"/>
        </w:rPr>
      </w:pPr>
      <w:r>
        <w:rPr>
          <w:color w:val="auto"/>
          <w:szCs w:val="21"/>
          <w:highlight w:val="none"/>
        </w:rPr>
        <w:t>第九章 公开招标失败的后续处理</w:t>
      </w:r>
    </w:p>
    <w:p w14:paraId="62755EC7">
      <w:pPr>
        <w:rPr>
          <w:color w:val="auto"/>
          <w:szCs w:val="21"/>
          <w:highlight w:val="none"/>
        </w:rPr>
      </w:pPr>
      <w:r>
        <w:rPr>
          <w:color w:val="auto"/>
          <w:szCs w:val="21"/>
          <w:highlight w:val="none"/>
        </w:rPr>
        <w:t>第十章 合同的授予与备案</w:t>
      </w:r>
    </w:p>
    <w:p w14:paraId="28B67DE6">
      <w:pPr>
        <w:rPr>
          <w:color w:val="auto"/>
          <w:szCs w:val="21"/>
          <w:highlight w:val="none"/>
        </w:rPr>
      </w:pPr>
      <w:r>
        <w:rPr>
          <w:color w:val="auto"/>
          <w:szCs w:val="21"/>
          <w:highlight w:val="none"/>
        </w:rPr>
        <w:t>第十一章 质疑处理</w:t>
      </w:r>
    </w:p>
    <w:p w14:paraId="574B9098">
      <w:pPr>
        <w:pStyle w:val="42"/>
        <w:rPr>
          <w:color w:val="auto"/>
          <w:highlight w:val="none"/>
        </w:rPr>
      </w:pPr>
    </w:p>
    <w:p w14:paraId="05EA96F5">
      <w:pPr>
        <w:jc w:val="center"/>
        <w:rPr>
          <w:rFonts w:hint="eastAsia" w:ascii="宋体" w:hAnsi="宋体" w:cs="宋体"/>
          <w:b/>
          <w:color w:val="auto"/>
          <w:sz w:val="24"/>
          <w:highlight w:val="none"/>
        </w:rPr>
      </w:pPr>
      <w:r>
        <w:rPr>
          <w:rFonts w:hint="eastAsia" w:ascii="宋体" w:hAnsi="宋体" w:cs="宋体"/>
          <w:b/>
          <w:color w:val="auto"/>
          <w:sz w:val="24"/>
          <w:highlight w:val="none"/>
        </w:rPr>
        <w:t>第三册  附件</w:t>
      </w:r>
    </w:p>
    <w:p w14:paraId="19F882E8">
      <w:pPr>
        <w:rPr>
          <w:rFonts w:hint="eastAsia" w:ascii="宋体" w:hAnsi="宋体" w:cs="宋体"/>
          <w:color w:val="auto"/>
          <w:szCs w:val="21"/>
          <w:highlight w:val="none"/>
        </w:rPr>
      </w:pPr>
    </w:p>
    <w:p w14:paraId="58DD2C76">
      <w:pPr>
        <w:rPr>
          <w:rFonts w:hint="eastAsia"/>
          <w:color w:val="auto"/>
          <w:szCs w:val="21"/>
          <w:highlight w:val="none"/>
        </w:rPr>
      </w:pPr>
      <w:r>
        <w:rPr>
          <w:rFonts w:hint="eastAsia"/>
          <w:color w:val="auto"/>
          <w:szCs w:val="21"/>
          <w:highlight w:val="none"/>
        </w:rPr>
        <w:t>一、财政部 工业和信息化部关于印发《政府采购促进中小企业发展管理办法》的通知</w:t>
      </w:r>
    </w:p>
    <w:p w14:paraId="62653C79">
      <w:pPr>
        <w:rPr>
          <w:rFonts w:hint="eastAsia"/>
          <w:color w:val="auto"/>
          <w:szCs w:val="21"/>
          <w:highlight w:val="none"/>
        </w:rPr>
      </w:pPr>
      <w:r>
        <w:rPr>
          <w:rFonts w:hint="eastAsia"/>
          <w:color w:val="auto"/>
          <w:szCs w:val="21"/>
          <w:highlight w:val="none"/>
        </w:rPr>
        <w:t>二、关于印发中小企业划型标准规定的通知</w:t>
      </w:r>
    </w:p>
    <w:p w14:paraId="7F5DCDD1">
      <w:pPr>
        <w:rPr>
          <w:rFonts w:hint="eastAsia"/>
          <w:color w:val="auto"/>
          <w:szCs w:val="21"/>
          <w:highlight w:val="none"/>
        </w:rPr>
      </w:pPr>
      <w:r>
        <w:rPr>
          <w:rFonts w:hint="eastAsia"/>
          <w:color w:val="auto"/>
          <w:szCs w:val="21"/>
          <w:highlight w:val="none"/>
        </w:rPr>
        <w:t>三、国家统计局关于印发《统计上大中小微型企业划分办法 （2017）》的通知</w:t>
      </w:r>
    </w:p>
    <w:p w14:paraId="5C811562">
      <w:pPr>
        <w:rPr>
          <w:rFonts w:hint="eastAsia"/>
          <w:color w:val="auto"/>
          <w:szCs w:val="21"/>
          <w:highlight w:val="none"/>
        </w:rPr>
      </w:pPr>
      <w:r>
        <w:rPr>
          <w:rFonts w:hint="eastAsia"/>
          <w:color w:val="auto"/>
          <w:szCs w:val="21"/>
          <w:highlight w:val="none"/>
        </w:rPr>
        <w:t>四、财政部 民政部 中国残疾人联合会关于促进残疾人就业 政府采购政策的通知</w:t>
      </w:r>
    </w:p>
    <w:p w14:paraId="7A554AD2">
      <w:pPr>
        <w:rPr>
          <w:color w:val="auto"/>
          <w:highlight w:val="none"/>
        </w:rPr>
      </w:pPr>
    </w:p>
    <w:p w14:paraId="1717A3A4">
      <w:pPr>
        <w:pStyle w:val="2"/>
        <w:rPr>
          <w:b/>
          <w:color w:val="auto"/>
          <w:kern w:val="0"/>
          <w:sz w:val="32"/>
          <w:szCs w:val="32"/>
          <w:highlight w:val="none"/>
        </w:rPr>
      </w:pPr>
      <w:r>
        <w:rPr>
          <w:b/>
          <w:color w:val="auto"/>
          <w:kern w:val="0"/>
          <w:sz w:val="32"/>
          <w:szCs w:val="32"/>
          <w:highlight w:val="none"/>
        </w:rPr>
        <w:br w:type="page"/>
      </w:r>
      <w:r>
        <w:rPr>
          <w:b/>
          <w:color w:val="auto"/>
          <w:kern w:val="0"/>
          <w:sz w:val="32"/>
          <w:szCs w:val="32"/>
          <w:highlight w:val="none"/>
        </w:rPr>
        <w:t>关键信息</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509"/>
        <w:gridCol w:w="5099"/>
      </w:tblGrid>
      <w:tr w14:paraId="36C1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jc w:val="center"/>
        </w:trPr>
        <w:tc>
          <w:tcPr>
            <w:tcW w:w="911" w:type="dxa"/>
            <w:vAlign w:val="center"/>
          </w:tcPr>
          <w:p w14:paraId="34A6C60F">
            <w:pPr>
              <w:adjustRightInd w:val="0"/>
              <w:snapToGrid w:val="0"/>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序号</w:t>
            </w:r>
          </w:p>
        </w:tc>
        <w:tc>
          <w:tcPr>
            <w:tcW w:w="2509" w:type="dxa"/>
            <w:vAlign w:val="center"/>
          </w:tcPr>
          <w:p w14:paraId="385ADE44">
            <w:pPr>
              <w:adjustRightInd w:val="0"/>
              <w:snapToGrid w:val="0"/>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内容</w:t>
            </w:r>
          </w:p>
        </w:tc>
        <w:tc>
          <w:tcPr>
            <w:tcW w:w="5099" w:type="dxa"/>
            <w:vAlign w:val="center"/>
          </w:tcPr>
          <w:p w14:paraId="398DD76C">
            <w:pPr>
              <w:adjustRightInd w:val="0"/>
              <w:snapToGrid w:val="0"/>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说明及要求</w:t>
            </w:r>
          </w:p>
        </w:tc>
      </w:tr>
      <w:tr w14:paraId="4355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11" w:type="dxa"/>
            <w:vAlign w:val="center"/>
          </w:tcPr>
          <w:p w14:paraId="1C5B1420">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1</w:t>
            </w:r>
          </w:p>
        </w:tc>
        <w:tc>
          <w:tcPr>
            <w:tcW w:w="2509" w:type="dxa"/>
            <w:vAlign w:val="center"/>
          </w:tcPr>
          <w:p w14:paraId="24E0D975">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采购项目名称</w:t>
            </w:r>
          </w:p>
        </w:tc>
        <w:tc>
          <w:tcPr>
            <w:tcW w:w="5099" w:type="dxa"/>
            <w:vAlign w:val="center"/>
          </w:tcPr>
          <w:p w14:paraId="537D4C28">
            <w:pPr>
              <w:adjustRightInd w:val="0"/>
              <w:snapToGrid w:val="0"/>
              <w:spacing w:line="360" w:lineRule="exact"/>
              <w:rPr>
                <w:rFonts w:hint="default"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深圳市儿童医院通用类设备一批项目(重新招标)</w:t>
            </w:r>
          </w:p>
        </w:tc>
      </w:tr>
      <w:tr w14:paraId="76D8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11" w:type="dxa"/>
            <w:vAlign w:val="center"/>
          </w:tcPr>
          <w:p w14:paraId="5B763113">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2</w:t>
            </w:r>
          </w:p>
        </w:tc>
        <w:tc>
          <w:tcPr>
            <w:tcW w:w="2509" w:type="dxa"/>
            <w:vAlign w:val="center"/>
          </w:tcPr>
          <w:p w14:paraId="4AA4FBA9">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采购方式</w:t>
            </w:r>
          </w:p>
        </w:tc>
        <w:tc>
          <w:tcPr>
            <w:tcW w:w="5099" w:type="dxa"/>
            <w:vAlign w:val="center"/>
          </w:tcPr>
          <w:p w14:paraId="34ACA930">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公开招标</w:t>
            </w:r>
          </w:p>
        </w:tc>
      </w:tr>
      <w:tr w14:paraId="229D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 w:type="dxa"/>
            <w:vAlign w:val="center"/>
          </w:tcPr>
          <w:p w14:paraId="6D1CB4BC">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w:t>
            </w:r>
          </w:p>
        </w:tc>
        <w:tc>
          <w:tcPr>
            <w:tcW w:w="2509" w:type="dxa"/>
            <w:vAlign w:val="center"/>
          </w:tcPr>
          <w:p w14:paraId="6606B216">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采购项目预算</w:t>
            </w:r>
          </w:p>
        </w:tc>
        <w:tc>
          <w:tcPr>
            <w:tcW w:w="5099" w:type="dxa"/>
            <w:vAlign w:val="center"/>
          </w:tcPr>
          <w:p w14:paraId="5548BCAB">
            <w:pPr>
              <w:adjustRightInd w:val="0"/>
              <w:snapToGrid w:val="0"/>
              <w:spacing w:line="360" w:lineRule="exact"/>
              <w:rPr>
                <w:rFonts w:ascii="宋体" w:hAnsi="宋体" w:cs="宋体"/>
                <w:color w:val="auto"/>
                <w:sz w:val="22"/>
                <w:highlight w:val="none"/>
              </w:rPr>
            </w:pPr>
            <w:r>
              <w:rPr>
                <w:rFonts w:hint="eastAsia" w:ascii="宋体" w:hAnsi="宋体" w:cs="宋体"/>
                <w:color w:val="auto"/>
                <w:sz w:val="22"/>
                <w:highlight w:val="none"/>
              </w:rPr>
              <w:t>人民币</w:t>
            </w:r>
            <w:r>
              <w:rPr>
                <w:rFonts w:hint="eastAsia" w:ascii="宋体" w:hAnsi="宋体" w:cs="宋体"/>
                <w:color w:val="auto"/>
                <w:sz w:val="22"/>
                <w:highlight w:val="none"/>
                <w:lang w:eastAsia="zh-CN"/>
              </w:rPr>
              <w:t>806,000.00</w:t>
            </w:r>
            <w:r>
              <w:rPr>
                <w:rFonts w:hint="eastAsia" w:ascii="宋体" w:hAnsi="宋体" w:cs="宋体"/>
                <w:color w:val="auto"/>
                <w:sz w:val="22"/>
                <w:highlight w:val="none"/>
              </w:rPr>
              <w:t>元</w:t>
            </w:r>
          </w:p>
        </w:tc>
      </w:tr>
      <w:tr w14:paraId="6E04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 w:type="dxa"/>
            <w:vAlign w:val="center"/>
          </w:tcPr>
          <w:p w14:paraId="14106C98">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w:t>
            </w:r>
          </w:p>
        </w:tc>
        <w:tc>
          <w:tcPr>
            <w:tcW w:w="2509" w:type="dxa"/>
            <w:vAlign w:val="center"/>
          </w:tcPr>
          <w:p w14:paraId="111BF4CE">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资金属性</w:t>
            </w:r>
          </w:p>
        </w:tc>
        <w:tc>
          <w:tcPr>
            <w:tcW w:w="5099" w:type="dxa"/>
            <w:vAlign w:val="center"/>
          </w:tcPr>
          <w:p w14:paraId="65FC9D02">
            <w:pPr>
              <w:adjustRightInd w:val="0"/>
              <w:snapToGrid w:val="0"/>
              <w:spacing w:line="360" w:lineRule="exact"/>
              <w:rPr>
                <w:rFonts w:hint="eastAsia" w:ascii="宋体" w:hAnsi="宋体" w:cs="宋体"/>
                <w:color w:val="auto"/>
                <w:sz w:val="22"/>
                <w:highlight w:val="none"/>
              </w:rPr>
            </w:pPr>
            <w:r>
              <w:rPr>
                <w:rFonts w:hint="eastAsia" w:ascii="宋体" w:hAnsi="宋体" w:cs="宋体"/>
                <w:color w:val="auto"/>
                <w:sz w:val="22"/>
                <w:highlight w:val="none"/>
              </w:rPr>
              <w:t>财政资金</w:t>
            </w:r>
          </w:p>
        </w:tc>
      </w:tr>
      <w:tr w14:paraId="218A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11" w:type="dxa"/>
            <w:vAlign w:val="center"/>
          </w:tcPr>
          <w:p w14:paraId="41DB81B9">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5</w:t>
            </w:r>
          </w:p>
        </w:tc>
        <w:tc>
          <w:tcPr>
            <w:tcW w:w="2509" w:type="dxa"/>
            <w:vAlign w:val="center"/>
          </w:tcPr>
          <w:p w14:paraId="1FC35566">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投标保证金</w:t>
            </w:r>
          </w:p>
        </w:tc>
        <w:tc>
          <w:tcPr>
            <w:tcW w:w="5099" w:type="dxa"/>
            <w:vAlign w:val="center"/>
          </w:tcPr>
          <w:p w14:paraId="08A2A73E">
            <w:pPr>
              <w:tabs>
                <w:tab w:val="left" w:pos="7740"/>
              </w:tabs>
              <w:spacing w:line="360" w:lineRule="exact"/>
              <w:rPr>
                <w:rFonts w:hint="eastAsia" w:ascii="宋体" w:hAnsi="宋体" w:cs="宋体"/>
                <w:color w:val="auto"/>
                <w:sz w:val="22"/>
                <w:highlight w:val="none"/>
              </w:rPr>
            </w:pPr>
            <w:r>
              <w:rPr>
                <w:rFonts w:hint="eastAsia" w:ascii="宋体" w:hAnsi="宋体" w:cs="宋体"/>
                <w:color w:val="auto"/>
                <w:sz w:val="22"/>
                <w:highlight w:val="none"/>
              </w:rPr>
              <w:t>不需要提供</w:t>
            </w:r>
          </w:p>
        </w:tc>
      </w:tr>
      <w:tr w14:paraId="79C1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11" w:type="dxa"/>
            <w:vAlign w:val="center"/>
          </w:tcPr>
          <w:p w14:paraId="438A135C">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6</w:t>
            </w:r>
          </w:p>
        </w:tc>
        <w:tc>
          <w:tcPr>
            <w:tcW w:w="2509" w:type="dxa"/>
            <w:vAlign w:val="center"/>
          </w:tcPr>
          <w:p w14:paraId="3EC0D931">
            <w:pPr>
              <w:adjustRightInd w:val="0"/>
              <w:snapToGrid w:val="0"/>
              <w:spacing w:line="360" w:lineRule="exact"/>
              <w:jc w:val="center"/>
              <w:rPr>
                <w:rFonts w:hint="eastAsia" w:ascii="宋体" w:hAnsi="宋体" w:cs="宋体"/>
                <w:bCs/>
                <w:color w:val="auto"/>
                <w:sz w:val="22"/>
                <w:highlight w:val="none"/>
              </w:rPr>
            </w:pPr>
            <w:r>
              <w:rPr>
                <w:rFonts w:hint="eastAsia" w:ascii="宋体" w:hAnsi="宋体" w:cs="宋体"/>
                <w:bCs/>
                <w:color w:val="auto"/>
                <w:sz w:val="22"/>
                <w:highlight w:val="none"/>
              </w:rPr>
              <w:t>投标有效期</w:t>
            </w:r>
          </w:p>
        </w:tc>
        <w:tc>
          <w:tcPr>
            <w:tcW w:w="5099" w:type="dxa"/>
            <w:vAlign w:val="center"/>
          </w:tcPr>
          <w:p w14:paraId="3EC463CE">
            <w:pPr>
              <w:adjustRightInd w:val="0"/>
              <w:snapToGrid w:val="0"/>
              <w:spacing w:line="360" w:lineRule="exact"/>
              <w:rPr>
                <w:rFonts w:hint="eastAsia" w:ascii="宋体" w:hAnsi="宋体" w:cs="宋体"/>
                <w:bCs/>
                <w:color w:val="auto"/>
                <w:sz w:val="22"/>
                <w:highlight w:val="none"/>
              </w:rPr>
            </w:pPr>
            <w:r>
              <w:rPr>
                <w:rFonts w:hint="eastAsia" w:ascii="宋体" w:hAnsi="宋体" w:cs="宋体"/>
                <w:color w:val="auto"/>
                <w:sz w:val="22"/>
                <w:highlight w:val="none"/>
                <w:u w:val="single"/>
              </w:rPr>
              <w:t>120</w:t>
            </w:r>
            <w:r>
              <w:rPr>
                <w:rFonts w:hint="eastAsia" w:ascii="宋体" w:hAnsi="宋体" w:cs="宋体"/>
                <w:color w:val="auto"/>
                <w:sz w:val="22"/>
                <w:highlight w:val="none"/>
              </w:rPr>
              <w:t>日（日历日）</w:t>
            </w:r>
          </w:p>
        </w:tc>
      </w:tr>
      <w:tr w14:paraId="4CF1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11" w:type="dxa"/>
            <w:vAlign w:val="center"/>
          </w:tcPr>
          <w:p w14:paraId="4D7528FE">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7</w:t>
            </w:r>
          </w:p>
        </w:tc>
        <w:tc>
          <w:tcPr>
            <w:tcW w:w="2509" w:type="dxa"/>
            <w:vAlign w:val="center"/>
          </w:tcPr>
          <w:p w14:paraId="37EBA89B">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投标文件份数</w:t>
            </w:r>
          </w:p>
        </w:tc>
        <w:tc>
          <w:tcPr>
            <w:tcW w:w="5099" w:type="dxa"/>
            <w:vAlign w:val="center"/>
          </w:tcPr>
          <w:p w14:paraId="739C6C76">
            <w:pPr>
              <w:adjustRightInd w:val="0"/>
              <w:snapToGrid w:val="0"/>
              <w:spacing w:line="360" w:lineRule="exact"/>
              <w:rPr>
                <w:rFonts w:hint="eastAsia" w:ascii="宋体" w:hAnsi="宋体" w:cs="宋体"/>
                <w:color w:val="auto"/>
                <w:sz w:val="22"/>
                <w:highlight w:val="none"/>
                <w:u w:val="single"/>
              </w:rPr>
            </w:pPr>
            <w:r>
              <w:rPr>
                <w:rFonts w:hint="eastAsia" w:ascii="宋体" w:hAnsi="宋体" w:cs="宋体"/>
                <w:color w:val="auto"/>
                <w:sz w:val="22"/>
                <w:highlight w:val="none"/>
              </w:rPr>
              <w:t>正本一份，副本五份，投标文件电子版（盖章扫描件）一份。</w:t>
            </w:r>
          </w:p>
        </w:tc>
      </w:tr>
      <w:tr w14:paraId="4A6B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11" w:type="dxa"/>
            <w:vAlign w:val="center"/>
          </w:tcPr>
          <w:p w14:paraId="6888DA08">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8</w:t>
            </w:r>
          </w:p>
        </w:tc>
        <w:tc>
          <w:tcPr>
            <w:tcW w:w="2509" w:type="dxa"/>
            <w:vAlign w:val="center"/>
          </w:tcPr>
          <w:p w14:paraId="52B36F61">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履约担保金额</w:t>
            </w:r>
          </w:p>
        </w:tc>
        <w:tc>
          <w:tcPr>
            <w:tcW w:w="5099" w:type="dxa"/>
            <w:vAlign w:val="center"/>
          </w:tcPr>
          <w:p w14:paraId="56A79B54">
            <w:pPr>
              <w:adjustRightInd w:val="0"/>
              <w:snapToGrid w:val="0"/>
              <w:spacing w:line="360" w:lineRule="exact"/>
              <w:jc w:val="left"/>
              <w:rPr>
                <w:rFonts w:hint="eastAsia" w:ascii="宋体" w:hAnsi="宋体" w:cs="宋体"/>
                <w:color w:val="auto"/>
                <w:sz w:val="22"/>
                <w:highlight w:val="none"/>
                <w:u w:val="single"/>
              </w:rPr>
            </w:pPr>
            <w:r>
              <w:rPr>
                <w:rFonts w:hint="eastAsia" w:ascii="宋体" w:hAnsi="宋体" w:cs="宋体"/>
                <w:color w:val="auto"/>
                <w:sz w:val="22"/>
                <w:highlight w:val="none"/>
              </w:rPr>
              <w:t>不要求提供。</w:t>
            </w:r>
          </w:p>
        </w:tc>
      </w:tr>
      <w:tr w14:paraId="7BEC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11" w:type="dxa"/>
            <w:vAlign w:val="center"/>
          </w:tcPr>
          <w:p w14:paraId="608C648A">
            <w:pPr>
              <w:adjustRightInd w:val="0"/>
              <w:snapToGrid w:val="0"/>
              <w:spacing w:line="360" w:lineRule="exact"/>
              <w:jc w:val="center"/>
              <w:rPr>
                <w:rFonts w:ascii="宋体" w:hAnsi="宋体" w:cs="宋体"/>
                <w:color w:val="auto"/>
                <w:sz w:val="22"/>
                <w:highlight w:val="none"/>
              </w:rPr>
            </w:pPr>
            <w:r>
              <w:rPr>
                <w:rFonts w:hint="eastAsia" w:ascii="宋体" w:hAnsi="宋体" w:cs="宋体"/>
                <w:color w:val="auto"/>
                <w:sz w:val="22"/>
                <w:highlight w:val="none"/>
              </w:rPr>
              <w:t>9</w:t>
            </w:r>
          </w:p>
        </w:tc>
        <w:tc>
          <w:tcPr>
            <w:tcW w:w="2509" w:type="dxa"/>
            <w:vAlign w:val="center"/>
          </w:tcPr>
          <w:p w14:paraId="4B289991">
            <w:pPr>
              <w:adjustRightInd w:val="0"/>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招标代理服务费</w:t>
            </w:r>
          </w:p>
        </w:tc>
        <w:tc>
          <w:tcPr>
            <w:tcW w:w="5099" w:type="dxa"/>
            <w:vAlign w:val="center"/>
          </w:tcPr>
          <w:p w14:paraId="130D65FD">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1.采购项目招标代理服务费由中标方在领取《中标通知书》的同时向招标代理机构缴纳。</w:t>
            </w:r>
          </w:p>
          <w:p w14:paraId="735E5810">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2.代理服务费在《深圳市财政委员会关于规范深圳市社会采购代理机构管理有关事项的补充通知》深财购〔2018〕27号文中公布的代理费用参考标准基础上下调10%。</w:t>
            </w:r>
          </w:p>
          <w:p w14:paraId="36EB9FB3">
            <w:pPr>
              <w:adjustRightInd w:val="0"/>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3.预算金额小于30万元的项目，按30万元计算后下调10%收取代理服务费。</w:t>
            </w:r>
          </w:p>
        </w:tc>
      </w:tr>
    </w:tbl>
    <w:p w14:paraId="37EAD92E">
      <w:pPr>
        <w:rPr>
          <w:color w:val="auto"/>
          <w:highlight w:val="none"/>
        </w:rPr>
      </w:pPr>
    </w:p>
    <w:p w14:paraId="1B95AB86">
      <w:pPr>
        <w:pStyle w:val="2"/>
        <w:rPr>
          <w:rFonts w:hint="eastAsia"/>
          <w:color w:val="auto"/>
          <w:highlight w:val="none"/>
        </w:rPr>
      </w:pPr>
      <w:r>
        <w:rPr>
          <w:color w:val="auto"/>
          <w:sz w:val="32"/>
          <w:highlight w:val="none"/>
        </w:rPr>
        <w:br w:type="page"/>
      </w:r>
      <w:r>
        <w:rPr>
          <w:color w:val="auto"/>
          <w:highlight w:val="none"/>
        </w:rPr>
        <w:t>投标文件初审表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7833"/>
      </w:tblGrid>
      <w:tr w14:paraId="4C69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Pr>
          <w:p w14:paraId="53C07DF4">
            <w:pPr>
              <w:spacing w:line="360" w:lineRule="exact"/>
              <w:jc w:val="center"/>
              <w:rPr>
                <w:color w:val="auto"/>
                <w:sz w:val="22"/>
                <w:highlight w:val="none"/>
              </w:rPr>
            </w:pPr>
            <w:r>
              <w:rPr>
                <w:b/>
                <w:bCs/>
                <w:color w:val="auto"/>
                <w:sz w:val="22"/>
                <w:highlight w:val="none"/>
              </w:rPr>
              <w:t>资格性</w:t>
            </w:r>
            <w:r>
              <w:rPr>
                <w:rFonts w:hint="eastAsia"/>
                <w:b/>
                <w:bCs/>
                <w:color w:val="auto"/>
                <w:sz w:val="22"/>
                <w:highlight w:val="none"/>
              </w:rPr>
              <w:t>审</w:t>
            </w:r>
            <w:r>
              <w:rPr>
                <w:b/>
                <w:bCs/>
                <w:color w:val="auto"/>
                <w:sz w:val="22"/>
                <w:highlight w:val="none"/>
              </w:rPr>
              <w:t>查表</w:t>
            </w:r>
          </w:p>
        </w:tc>
      </w:tr>
      <w:tr w14:paraId="547D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404" w:type="pct"/>
            <w:vAlign w:val="center"/>
          </w:tcPr>
          <w:p w14:paraId="273FAB80">
            <w:pPr>
              <w:numPr>
                <w:ilvl w:val="0"/>
                <w:numId w:val="2"/>
              </w:numPr>
              <w:spacing w:line="360" w:lineRule="exact"/>
              <w:jc w:val="center"/>
              <w:rPr>
                <w:color w:val="auto"/>
                <w:sz w:val="22"/>
                <w:highlight w:val="none"/>
              </w:rPr>
            </w:pPr>
          </w:p>
        </w:tc>
        <w:tc>
          <w:tcPr>
            <w:tcW w:w="4595" w:type="pct"/>
          </w:tcPr>
          <w:p w14:paraId="04F6921F">
            <w:pPr>
              <w:spacing w:line="360" w:lineRule="exact"/>
              <w:jc w:val="left"/>
              <w:rPr>
                <w:color w:val="auto"/>
                <w:sz w:val="22"/>
                <w:highlight w:val="none"/>
              </w:rPr>
            </w:pPr>
            <w:r>
              <w:rPr>
                <w:color w:val="auto"/>
                <w:sz w:val="22"/>
                <w:highlight w:val="none"/>
              </w:rPr>
              <w:t>不具备采购文件所列的资格要求，或未提交相应的资格证明资料（详见采购公告投标人资质要求）</w:t>
            </w:r>
          </w:p>
        </w:tc>
      </w:tr>
      <w:tr w14:paraId="27E2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404" w:type="pct"/>
          </w:tcPr>
          <w:p w14:paraId="1AD1661D">
            <w:pPr>
              <w:numPr>
                <w:ilvl w:val="0"/>
                <w:numId w:val="2"/>
              </w:numPr>
              <w:spacing w:line="360" w:lineRule="exact"/>
              <w:jc w:val="center"/>
              <w:rPr>
                <w:color w:val="auto"/>
                <w:sz w:val="22"/>
                <w:highlight w:val="none"/>
              </w:rPr>
            </w:pPr>
          </w:p>
        </w:tc>
        <w:tc>
          <w:tcPr>
            <w:tcW w:w="4595" w:type="pct"/>
          </w:tcPr>
          <w:p w14:paraId="4B3F1BFC">
            <w:pPr>
              <w:spacing w:line="360" w:lineRule="exact"/>
              <w:jc w:val="left"/>
              <w:rPr>
                <w:color w:val="auto"/>
                <w:sz w:val="22"/>
                <w:highlight w:val="none"/>
              </w:rPr>
            </w:pPr>
            <w:r>
              <w:rPr>
                <w:color w:val="auto"/>
                <w:sz w:val="22"/>
                <w:highlight w:val="none"/>
              </w:rPr>
              <w:t>不具备国家有关法律规定的有关资质的</w:t>
            </w:r>
          </w:p>
        </w:tc>
      </w:tr>
      <w:tr w14:paraId="6AB8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Pr>
          <w:p w14:paraId="3609B446">
            <w:pPr>
              <w:spacing w:line="360" w:lineRule="exact"/>
              <w:jc w:val="center"/>
              <w:rPr>
                <w:color w:val="auto"/>
                <w:sz w:val="22"/>
                <w:highlight w:val="none"/>
              </w:rPr>
            </w:pPr>
            <w:r>
              <w:rPr>
                <w:b/>
                <w:bCs/>
                <w:color w:val="auto"/>
                <w:sz w:val="22"/>
                <w:highlight w:val="none"/>
              </w:rPr>
              <w:t>符合性</w:t>
            </w:r>
            <w:r>
              <w:rPr>
                <w:rFonts w:hint="eastAsia"/>
                <w:b/>
                <w:bCs/>
                <w:color w:val="auto"/>
                <w:sz w:val="22"/>
                <w:highlight w:val="none"/>
              </w:rPr>
              <w:t>审</w:t>
            </w:r>
            <w:r>
              <w:rPr>
                <w:b/>
                <w:bCs/>
                <w:color w:val="auto"/>
                <w:sz w:val="22"/>
                <w:highlight w:val="none"/>
              </w:rPr>
              <w:t>查表</w:t>
            </w:r>
          </w:p>
        </w:tc>
      </w:tr>
      <w:tr w14:paraId="155F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4F7FE3A">
            <w:pPr>
              <w:numPr>
                <w:ilvl w:val="0"/>
                <w:numId w:val="3"/>
              </w:numPr>
              <w:spacing w:line="360" w:lineRule="exact"/>
              <w:jc w:val="center"/>
              <w:rPr>
                <w:color w:val="auto"/>
                <w:sz w:val="22"/>
                <w:highlight w:val="none"/>
              </w:rPr>
            </w:pPr>
          </w:p>
        </w:tc>
        <w:tc>
          <w:tcPr>
            <w:tcW w:w="4595" w:type="pct"/>
          </w:tcPr>
          <w:p w14:paraId="5B0004A6">
            <w:pPr>
              <w:spacing w:line="360" w:lineRule="exact"/>
              <w:jc w:val="left"/>
              <w:rPr>
                <w:color w:val="auto"/>
                <w:sz w:val="22"/>
                <w:highlight w:val="none"/>
              </w:rPr>
            </w:pPr>
            <w:r>
              <w:rPr>
                <w:color w:val="auto"/>
                <w:sz w:val="22"/>
                <w:highlight w:val="none"/>
              </w:rPr>
              <w:t>将一个包中的内容拆开投标</w:t>
            </w:r>
          </w:p>
        </w:tc>
      </w:tr>
      <w:tr w14:paraId="47EC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1007EA82">
            <w:pPr>
              <w:numPr>
                <w:ilvl w:val="0"/>
                <w:numId w:val="3"/>
              </w:numPr>
              <w:spacing w:line="360" w:lineRule="exact"/>
              <w:jc w:val="center"/>
              <w:rPr>
                <w:color w:val="auto"/>
                <w:sz w:val="22"/>
                <w:highlight w:val="none"/>
              </w:rPr>
            </w:pPr>
          </w:p>
        </w:tc>
        <w:tc>
          <w:tcPr>
            <w:tcW w:w="4595" w:type="pct"/>
          </w:tcPr>
          <w:p w14:paraId="77F91206">
            <w:pPr>
              <w:spacing w:line="360" w:lineRule="exact"/>
              <w:jc w:val="left"/>
              <w:rPr>
                <w:color w:val="auto"/>
                <w:sz w:val="22"/>
                <w:highlight w:val="none"/>
              </w:rPr>
            </w:pPr>
            <w:r>
              <w:rPr>
                <w:color w:val="auto"/>
                <w:sz w:val="22"/>
                <w:highlight w:val="none"/>
              </w:rPr>
              <w:t>采购文件未规定允许有替代方案时，对同一货物投标时，同时提供两套或两套以上的投标方案</w:t>
            </w:r>
          </w:p>
        </w:tc>
      </w:tr>
      <w:tr w14:paraId="7948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81CD971">
            <w:pPr>
              <w:numPr>
                <w:ilvl w:val="0"/>
                <w:numId w:val="3"/>
              </w:numPr>
              <w:spacing w:line="360" w:lineRule="exact"/>
              <w:jc w:val="center"/>
              <w:rPr>
                <w:color w:val="auto"/>
                <w:sz w:val="22"/>
                <w:highlight w:val="none"/>
              </w:rPr>
            </w:pPr>
          </w:p>
        </w:tc>
        <w:tc>
          <w:tcPr>
            <w:tcW w:w="4595" w:type="pct"/>
          </w:tcPr>
          <w:p w14:paraId="0461B947">
            <w:pPr>
              <w:spacing w:line="360" w:lineRule="exact"/>
              <w:jc w:val="left"/>
              <w:rPr>
                <w:color w:val="auto"/>
                <w:sz w:val="22"/>
                <w:highlight w:val="none"/>
              </w:rPr>
            </w:pPr>
            <w:r>
              <w:rPr>
                <w:color w:val="auto"/>
                <w:sz w:val="22"/>
                <w:highlight w:val="none"/>
              </w:rPr>
              <w:t>投标总价或分项报价高于财政预算限额的</w:t>
            </w:r>
          </w:p>
        </w:tc>
      </w:tr>
      <w:tr w14:paraId="62D1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F35E9B5">
            <w:pPr>
              <w:numPr>
                <w:ilvl w:val="0"/>
                <w:numId w:val="3"/>
              </w:numPr>
              <w:spacing w:line="360" w:lineRule="exact"/>
              <w:jc w:val="center"/>
              <w:rPr>
                <w:color w:val="auto"/>
                <w:sz w:val="22"/>
                <w:highlight w:val="none"/>
              </w:rPr>
            </w:pPr>
          </w:p>
        </w:tc>
        <w:tc>
          <w:tcPr>
            <w:tcW w:w="4595" w:type="pct"/>
          </w:tcPr>
          <w:p w14:paraId="2B3C5AD2">
            <w:pPr>
              <w:spacing w:line="360" w:lineRule="exact"/>
              <w:jc w:val="left"/>
              <w:rPr>
                <w:color w:val="auto"/>
                <w:sz w:val="22"/>
                <w:highlight w:val="none"/>
              </w:rPr>
            </w:pPr>
            <w:r>
              <w:rPr>
                <w:color w:val="auto"/>
                <w:sz w:val="22"/>
                <w:highlight w:val="none"/>
              </w:rPr>
              <w:t>同一项目出现两个或以上报价</w:t>
            </w:r>
          </w:p>
        </w:tc>
      </w:tr>
      <w:tr w14:paraId="5BCA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A81E1D0">
            <w:pPr>
              <w:numPr>
                <w:ilvl w:val="0"/>
                <w:numId w:val="3"/>
              </w:numPr>
              <w:spacing w:line="360" w:lineRule="exact"/>
              <w:jc w:val="center"/>
              <w:rPr>
                <w:color w:val="auto"/>
                <w:sz w:val="22"/>
                <w:highlight w:val="none"/>
              </w:rPr>
            </w:pPr>
          </w:p>
        </w:tc>
        <w:tc>
          <w:tcPr>
            <w:tcW w:w="4595" w:type="pct"/>
          </w:tcPr>
          <w:p w14:paraId="56C8D61A">
            <w:pPr>
              <w:spacing w:line="360" w:lineRule="exact"/>
              <w:jc w:val="left"/>
              <w:rPr>
                <w:color w:val="auto"/>
                <w:sz w:val="22"/>
                <w:highlight w:val="none"/>
              </w:rPr>
            </w:pPr>
            <w:r>
              <w:rPr>
                <w:rFonts w:hint="eastAsia"/>
                <w:color w:val="auto"/>
                <w:sz w:val="22"/>
                <w:highlight w:val="none"/>
              </w:rPr>
              <w:t>评审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tc>
      </w:tr>
      <w:tr w14:paraId="02C9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104DB3E9">
            <w:pPr>
              <w:numPr>
                <w:ilvl w:val="0"/>
                <w:numId w:val="3"/>
              </w:numPr>
              <w:spacing w:line="360" w:lineRule="exact"/>
              <w:jc w:val="center"/>
              <w:rPr>
                <w:color w:val="auto"/>
                <w:sz w:val="22"/>
                <w:highlight w:val="none"/>
              </w:rPr>
            </w:pPr>
          </w:p>
        </w:tc>
        <w:tc>
          <w:tcPr>
            <w:tcW w:w="4595" w:type="pct"/>
          </w:tcPr>
          <w:p w14:paraId="779236D8">
            <w:pPr>
              <w:spacing w:line="360" w:lineRule="exact"/>
              <w:jc w:val="left"/>
              <w:rPr>
                <w:color w:val="auto"/>
                <w:sz w:val="22"/>
                <w:highlight w:val="none"/>
              </w:rPr>
            </w:pPr>
            <w:r>
              <w:rPr>
                <w:color w:val="auto"/>
                <w:sz w:val="22"/>
                <w:highlight w:val="none"/>
              </w:rPr>
              <w:t>投标报价有严重缺漏项目</w:t>
            </w:r>
          </w:p>
        </w:tc>
      </w:tr>
      <w:tr w14:paraId="784D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B0FAC89">
            <w:pPr>
              <w:numPr>
                <w:ilvl w:val="0"/>
                <w:numId w:val="3"/>
              </w:numPr>
              <w:spacing w:line="360" w:lineRule="exact"/>
              <w:jc w:val="center"/>
              <w:rPr>
                <w:color w:val="auto"/>
                <w:sz w:val="22"/>
                <w:highlight w:val="none"/>
              </w:rPr>
            </w:pPr>
          </w:p>
        </w:tc>
        <w:tc>
          <w:tcPr>
            <w:tcW w:w="4595" w:type="pct"/>
          </w:tcPr>
          <w:p w14:paraId="6FB858BB">
            <w:pPr>
              <w:spacing w:line="360" w:lineRule="exact"/>
              <w:jc w:val="left"/>
              <w:rPr>
                <w:color w:val="auto"/>
                <w:sz w:val="22"/>
                <w:highlight w:val="none"/>
              </w:rPr>
            </w:pPr>
            <w:r>
              <w:rPr>
                <w:color w:val="auto"/>
                <w:sz w:val="22"/>
                <w:highlight w:val="none"/>
              </w:rPr>
              <w:t>投标文件载明的交货期超过采购文件规定的期限</w:t>
            </w:r>
          </w:p>
        </w:tc>
      </w:tr>
      <w:tr w14:paraId="798C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4E0E5037">
            <w:pPr>
              <w:numPr>
                <w:ilvl w:val="0"/>
                <w:numId w:val="3"/>
              </w:numPr>
              <w:spacing w:line="360" w:lineRule="exact"/>
              <w:jc w:val="center"/>
              <w:rPr>
                <w:color w:val="auto"/>
                <w:sz w:val="22"/>
                <w:highlight w:val="none"/>
              </w:rPr>
            </w:pPr>
          </w:p>
        </w:tc>
        <w:tc>
          <w:tcPr>
            <w:tcW w:w="4595" w:type="pct"/>
          </w:tcPr>
          <w:p w14:paraId="158C9BCD">
            <w:pPr>
              <w:spacing w:line="360" w:lineRule="exact"/>
              <w:jc w:val="left"/>
              <w:rPr>
                <w:color w:val="auto"/>
                <w:sz w:val="22"/>
                <w:highlight w:val="none"/>
              </w:rPr>
            </w:pPr>
            <w:r>
              <w:rPr>
                <w:color w:val="auto"/>
                <w:sz w:val="22"/>
                <w:highlight w:val="none"/>
              </w:rPr>
              <w:t>投标文件载明的免费保修期低于采购文件规定的期限</w:t>
            </w:r>
          </w:p>
        </w:tc>
      </w:tr>
      <w:tr w14:paraId="7FCE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B54B5CC">
            <w:pPr>
              <w:numPr>
                <w:ilvl w:val="0"/>
                <w:numId w:val="3"/>
              </w:numPr>
              <w:spacing w:line="360" w:lineRule="exact"/>
              <w:jc w:val="center"/>
              <w:rPr>
                <w:color w:val="auto"/>
                <w:sz w:val="22"/>
                <w:highlight w:val="none"/>
              </w:rPr>
            </w:pPr>
          </w:p>
        </w:tc>
        <w:tc>
          <w:tcPr>
            <w:tcW w:w="4595" w:type="pct"/>
          </w:tcPr>
          <w:p w14:paraId="1078CB7D">
            <w:pPr>
              <w:spacing w:line="360" w:lineRule="exact"/>
              <w:jc w:val="left"/>
              <w:rPr>
                <w:color w:val="auto"/>
                <w:sz w:val="22"/>
                <w:highlight w:val="none"/>
              </w:rPr>
            </w:pPr>
            <w:r>
              <w:rPr>
                <w:color w:val="auto"/>
                <w:sz w:val="22"/>
                <w:highlight w:val="none"/>
              </w:rPr>
              <w:t>所投产品、工程、服务在质量、技术、方案等方面没有实质性满足采购文件要求</w:t>
            </w:r>
          </w:p>
        </w:tc>
      </w:tr>
      <w:tr w14:paraId="7849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2C02C7E8">
            <w:pPr>
              <w:numPr>
                <w:ilvl w:val="0"/>
                <w:numId w:val="3"/>
              </w:numPr>
              <w:spacing w:line="360" w:lineRule="exact"/>
              <w:jc w:val="center"/>
              <w:rPr>
                <w:color w:val="auto"/>
                <w:sz w:val="22"/>
                <w:highlight w:val="none"/>
              </w:rPr>
            </w:pPr>
          </w:p>
        </w:tc>
        <w:tc>
          <w:tcPr>
            <w:tcW w:w="4595" w:type="pct"/>
          </w:tcPr>
          <w:p w14:paraId="2472C621">
            <w:pPr>
              <w:spacing w:line="360" w:lineRule="exact"/>
              <w:jc w:val="left"/>
              <w:rPr>
                <w:color w:val="auto"/>
                <w:sz w:val="22"/>
                <w:highlight w:val="none"/>
              </w:rPr>
            </w:pPr>
            <w:r>
              <w:rPr>
                <w:color w:val="auto"/>
                <w:sz w:val="22"/>
                <w:highlight w:val="none"/>
              </w:rPr>
              <w:t>未按采购文件提供《投标函》；未按采购文件对投标文件组成的要求提供投标文件的（投标文件组成不完整）；投标文件的数量、制作、密封、标记、签字盖章不符合采购文件要求；投标文件无法定代表人有效授权的</w:t>
            </w:r>
          </w:p>
        </w:tc>
      </w:tr>
      <w:tr w14:paraId="037A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22EAE9F5">
            <w:pPr>
              <w:numPr>
                <w:ilvl w:val="0"/>
                <w:numId w:val="3"/>
              </w:numPr>
              <w:spacing w:line="360" w:lineRule="exact"/>
              <w:jc w:val="center"/>
              <w:rPr>
                <w:color w:val="auto"/>
                <w:sz w:val="22"/>
                <w:highlight w:val="none"/>
              </w:rPr>
            </w:pPr>
          </w:p>
        </w:tc>
        <w:tc>
          <w:tcPr>
            <w:tcW w:w="4595" w:type="pct"/>
          </w:tcPr>
          <w:p w14:paraId="5C934F39">
            <w:pPr>
              <w:spacing w:line="360" w:lineRule="exact"/>
              <w:jc w:val="left"/>
              <w:rPr>
                <w:color w:val="auto"/>
                <w:sz w:val="22"/>
                <w:highlight w:val="none"/>
              </w:rPr>
            </w:pPr>
            <w:r>
              <w:rPr>
                <w:color w:val="auto"/>
                <w:sz w:val="22"/>
                <w:highlight w:val="none"/>
              </w:rPr>
              <w:t>未提供投标文件电子文档或者有病毒</w:t>
            </w:r>
          </w:p>
        </w:tc>
      </w:tr>
      <w:tr w14:paraId="3383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0DC1AF9A">
            <w:pPr>
              <w:numPr>
                <w:ilvl w:val="0"/>
                <w:numId w:val="3"/>
              </w:numPr>
              <w:spacing w:line="360" w:lineRule="exact"/>
              <w:jc w:val="center"/>
              <w:rPr>
                <w:color w:val="auto"/>
                <w:sz w:val="22"/>
                <w:highlight w:val="none"/>
              </w:rPr>
            </w:pPr>
          </w:p>
        </w:tc>
        <w:tc>
          <w:tcPr>
            <w:tcW w:w="4595" w:type="pct"/>
          </w:tcPr>
          <w:p w14:paraId="0D30232C">
            <w:pPr>
              <w:spacing w:line="360" w:lineRule="exact"/>
              <w:jc w:val="left"/>
              <w:rPr>
                <w:color w:val="auto"/>
                <w:sz w:val="22"/>
                <w:highlight w:val="none"/>
              </w:rPr>
            </w:pPr>
            <w:r>
              <w:rPr>
                <w:color w:val="auto"/>
                <w:sz w:val="22"/>
                <w:highlight w:val="none"/>
              </w:rPr>
              <w:t>法律、法规规定的其他情形</w:t>
            </w:r>
          </w:p>
        </w:tc>
      </w:tr>
    </w:tbl>
    <w:p w14:paraId="09732E60">
      <w:pPr>
        <w:rPr>
          <w:rFonts w:hint="eastAsia"/>
          <w:b/>
          <w:bCs/>
          <w:color w:val="auto"/>
          <w:sz w:val="22"/>
          <w:highlight w:val="none"/>
        </w:rPr>
      </w:pPr>
      <w:r>
        <w:rPr>
          <w:rFonts w:hint="eastAsia"/>
          <w:b/>
          <w:bCs/>
          <w:color w:val="auto"/>
          <w:sz w:val="22"/>
          <w:highlight w:val="none"/>
        </w:rPr>
        <w:t>备注：《</w:t>
      </w:r>
      <w:r>
        <w:rPr>
          <w:rFonts w:hint="eastAsia"/>
          <w:b/>
          <w:color w:val="auto"/>
          <w:szCs w:val="24"/>
          <w:highlight w:val="none"/>
        </w:rPr>
        <w:t>资格</w:t>
      </w:r>
      <w:r>
        <w:rPr>
          <w:rFonts w:hint="eastAsia"/>
          <w:b/>
          <w:bCs/>
          <w:color w:val="auto"/>
          <w:sz w:val="22"/>
          <w:highlight w:val="none"/>
        </w:rPr>
        <w:t>性审查表》和《符合性审查表》初审不通过，按投标无效处理。</w:t>
      </w:r>
    </w:p>
    <w:p w14:paraId="1F615162">
      <w:pPr>
        <w:pStyle w:val="2"/>
        <w:rPr>
          <w:color w:val="auto"/>
          <w:highlight w:val="none"/>
        </w:rPr>
      </w:pPr>
      <w:r>
        <w:rPr>
          <w:color w:val="auto"/>
          <w:highlight w:val="none"/>
        </w:rPr>
        <w:br w:type="page"/>
      </w:r>
      <w:r>
        <w:rPr>
          <w:rFonts w:hint="eastAsia" w:ascii="宋体" w:hAnsi="宋体" w:cs="宋体"/>
          <w:b/>
          <w:color w:val="auto"/>
          <w:sz w:val="28"/>
          <w:szCs w:val="28"/>
          <w:highlight w:val="none"/>
        </w:rPr>
        <w:t>评标信息</w:t>
      </w:r>
      <w:bookmarkStart w:id="0" w:name="OLE_LINK3"/>
      <w:bookmarkStart w:id="1" w:name="OLE_LINK4"/>
      <w:bookmarkStart w:id="2" w:name="OLE_LINK2"/>
    </w:p>
    <w:bookmarkEnd w:id="0"/>
    <w:bookmarkEnd w:id="1"/>
    <w:bookmarkEnd w:id="2"/>
    <w:p w14:paraId="3C9AE9D9">
      <w:pPr>
        <w:jc w:val="left"/>
        <w:rPr>
          <w:rFonts w:hint="eastAsia" w:ascii="宋体" w:hAnsi="宋体" w:cs="宋体"/>
          <w:color w:val="auto"/>
          <w:sz w:val="22"/>
          <w:highlight w:val="none"/>
        </w:rPr>
      </w:pPr>
      <w:r>
        <w:rPr>
          <w:rFonts w:hint="eastAsia" w:ascii="宋体" w:hAnsi="宋体" w:cs="宋体"/>
          <w:color w:val="auto"/>
          <w:sz w:val="22"/>
          <w:highlight w:val="none"/>
        </w:rPr>
        <w:t>评标方法：综合评分法。按照招标文件中规定的各项因素进行量化打分，以评标总得分的平均分最高的投标人为中标候选供应商；采购人根据评标委员会评审结果确定中标候选供应商为中标人。确定中标供应商按评审后得分由高到低顺序排列。得分相同的，按投标报价由低到高顺序排列。得分且投标报价相同的，按技术指标优劣顺序排列。</w:t>
      </w:r>
    </w:p>
    <w:p w14:paraId="7CAACC0C">
      <w:pPr>
        <w:jc w:val="left"/>
        <w:rPr>
          <w:rFonts w:hint="eastAsia"/>
          <w:color w:val="auto"/>
          <w:highlight w:val="none"/>
        </w:rPr>
      </w:pPr>
      <w:r>
        <w:rPr>
          <w:rFonts w:hint="eastAsia" w:ascii="宋体" w:hAnsi="宋体" w:cs="宋体"/>
          <w:color w:val="auto"/>
          <w:sz w:val="22"/>
          <w:highlight w:val="none"/>
        </w:rPr>
        <w:t>综合评分法中的价格分统一采用低价优先法计算,即满足采购文件要求且投标价格最低的投标报价为评标基准价,其价格分为满分。其他投标人的价格分统一按照下列公式计算：投标报价得分=(评标基准价/投标报价)×分值</w:t>
      </w:r>
    </w:p>
    <w:tbl>
      <w:tblPr>
        <w:tblStyle w:val="43"/>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436"/>
        <w:gridCol w:w="1814"/>
        <w:gridCol w:w="720"/>
        <w:gridCol w:w="755"/>
        <w:gridCol w:w="4328"/>
      </w:tblGrid>
      <w:tr w14:paraId="1C7A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Align w:val="center"/>
          </w:tcPr>
          <w:p w14:paraId="7E1D935F">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3725" w:type="dxa"/>
            <w:gridSpan w:val="4"/>
            <w:vAlign w:val="center"/>
          </w:tcPr>
          <w:p w14:paraId="58419462">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评分项</w:t>
            </w:r>
          </w:p>
        </w:tc>
        <w:tc>
          <w:tcPr>
            <w:tcW w:w="4328" w:type="dxa"/>
            <w:vAlign w:val="center"/>
          </w:tcPr>
          <w:p w14:paraId="20B6353D">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权重</w:t>
            </w:r>
          </w:p>
        </w:tc>
      </w:tr>
      <w:tr w14:paraId="4016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Align w:val="center"/>
          </w:tcPr>
          <w:p w14:paraId="552B8678">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p>
        </w:tc>
        <w:tc>
          <w:tcPr>
            <w:tcW w:w="3725" w:type="dxa"/>
            <w:gridSpan w:val="4"/>
            <w:vAlign w:val="center"/>
          </w:tcPr>
          <w:p w14:paraId="06A55399">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价格</w:t>
            </w:r>
          </w:p>
        </w:tc>
        <w:tc>
          <w:tcPr>
            <w:tcW w:w="4328" w:type="dxa"/>
            <w:vAlign w:val="center"/>
          </w:tcPr>
          <w:p w14:paraId="3BEBBA12">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30</w:t>
            </w:r>
          </w:p>
        </w:tc>
      </w:tr>
      <w:tr w14:paraId="64F6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Align w:val="center"/>
          </w:tcPr>
          <w:p w14:paraId="3421516F">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w:t>
            </w:r>
          </w:p>
        </w:tc>
        <w:tc>
          <w:tcPr>
            <w:tcW w:w="3725" w:type="dxa"/>
            <w:gridSpan w:val="4"/>
            <w:vAlign w:val="center"/>
          </w:tcPr>
          <w:p w14:paraId="6E578873">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技术部分</w:t>
            </w:r>
          </w:p>
        </w:tc>
        <w:tc>
          <w:tcPr>
            <w:tcW w:w="4328" w:type="dxa"/>
            <w:vAlign w:val="center"/>
          </w:tcPr>
          <w:p w14:paraId="578693C9">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60</w:t>
            </w:r>
          </w:p>
        </w:tc>
      </w:tr>
      <w:tr w14:paraId="4E6A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restart"/>
            <w:vAlign w:val="center"/>
          </w:tcPr>
          <w:p w14:paraId="1180DE1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p>
        </w:tc>
        <w:tc>
          <w:tcPr>
            <w:tcW w:w="436" w:type="dxa"/>
            <w:vAlign w:val="center"/>
          </w:tcPr>
          <w:p w14:paraId="03094A9D">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814" w:type="dxa"/>
            <w:vAlign w:val="center"/>
          </w:tcPr>
          <w:p w14:paraId="3D5C410D">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评审因素</w:t>
            </w:r>
          </w:p>
        </w:tc>
        <w:tc>
          <w:tcPr>
            <w:tcW w:w="720" w:type="dxa"/>
            <w:vAlign w:val="center"/>
          </w:tcPr>
          <w:p w14:paraId="31B7D1D9">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权重</w:t>
            </w:r>
          </w:p>
        </w:tc>
        <w:tc>
          <w:tcPr>
            <w:tcW w:w="755" w:type="dxa"/>
            <w:vAlign w:val="center"/>
          </w:tcPr>
          <w:p w14:paraId="4FADC38E">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评分方式</w:t>
            </w:r>
          </w:p>
        </w:tc>
        <w:tc>
          <w:tcPr>
            <w:tcW w:w="4328" w:type="dxa"/>
            <w:vAlign w:val="center"/>
          </w:tcPr>
          <w:p w14:paraId="1BF891B9">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评分准则</w:t>
            </w:r>
          </w:p>
        </w:tc>
      </w:tr>
      <w:tr w14:paraId="7B34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074D79B7">
            <w:pPr>
              <w:keepNext/>
              <w:keepLines/>
              <w:pageBreakBefore w:val="0"/>
              <w:widowControl w:val="0"/>
              <w:kinsoku/>
              <w:wordWrap/>
              <w:overflowPunct/>
              <w:topLinePunct w:val="0"/>
              <w:bidi w:val="0"/>
              <w:spacing w:line="240" w:lineRule="auto"/>
              <w:jc w:val="center"/>
              <w:textAlignment w:val="auto"/>
              <w:outlineLvl w:val="2"/>
              <w:rPr>
                <w:rFonts w:hint="eastAsia" w:ascii="宋体" w:hAnsi="宋体" w:eastAsia="宋体" w:cs="宋体"/>
                <w:color w:val="auto"/>
                <w:sz w:val="22"/>
                <w:szCs w:val="22"/>
                <w:highlight w:val="none"/>
              </w:rPr>
            </w:pPr>
          </w:p>
        </w:tc>
        <w:tc>
          <w:tcPr>
            <w:tcW w:w="436" w:type="dxa"/>
            <w:shd w:val="clear" w:color="auto" w:fill="auto"/>
            <w:vAlign w:val="center"/>
          </w:tcPr>
          <w:p w14:paraId="25C4F5F6">
            <w:pPr>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zh-CN" w:eastAsia="zh-CN" w:bidi="ar-SA"/>
              </w:rPr>
            </w:pPr>
            <w:r>
              <w:rPr>
                <w:rFonts w:hint="eastAsia" w:ascii="宋体" w:hAnsi="宋体" w:eastAsia="宋体" w:cs="宋体"/>
                <w:color w:val="auto"/>
                <w:sz w:val="22"/>
                <w:szCs w:val="22"/>
                <w:highlight w:val="none"/>
                <w:lang w:val="zh-CN"/>
              </w:rPr>
              <w:t>1</w:t>
            </w:r>
          </w:p>
        </w:tc>
        <w:tc>
          <w:tcPr>
            <w:tcW w:w="1814" w:type="dxa"/>
            <w:shd w:val="clear" w:color="auto" w:fill="auto"/>
            <w:vAlign w:val="center"/>
          </w:tcPr>
          <w:p w14:paraId="2F6BE377">
            <w:pPr>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zh-CN" w:eastAsia="zh-CN" w:bidi="ar-SA"/>
              </w:rPr>
            </w:pPr>
            <w:r>
              <w:rPr>
                <w:rFonts w:hint="eastAsia" w:ascii="宋体" w:hAnsi="宋体" w:eastAsia="宋体" w:cs="宋体"/>
                <w:color w:val="auto"/>
                <w:sz w:val="22"/>
                <w:szCs w:val="22"/>
                <w:highlight w:val="none"/>
                <w:lang w:val="zh-CN"/>
              </w:rPr>
              <w:t>技术参数响应</w:t>
            </w:r>
          </w:p>
        </w:tc>
        <w:tc>
          <w:tcPr>
            <w:tcW w:w="720" w:type="dxa"/>
            <w:shd w:val="clear" w:color="auto" w:fill="auto"/>
            <w:vAlign w:val="center"/>
          </w:tcPr>
          <w:p w14:paraId="664CD9AD">
            <w:pPr>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31</w:t>
            </w:r>
          </w:p>
        </w:tc>
        <w:tc>
          <w:tcPr>
            <w:tcW w:w="755" w:type="dxa"/>
            <w:shd w:val="clear" w:color="auto" w:fill="auto"/>
            <w:vAlign w:val="center"/>
          </w:tcPr>
          <w:p w14:paraId="11B1EB16">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专家打分</w:t>
            </w:r>
          </w:p>
        </w:tc>
        <w:tc>
          <w:tcPr>
            <w:tcW w:w="4328" w:type="dxa"/>
            <w:shd w:val="clear" w:color="auto" w:fill="auto"/>
            <w:vAlign w:val="top"/>
          </w:tcPr>
          <w:p w14:paraId="6AFE0522">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投标人应如实填写《技术规格偏离表》，评审委员会根据技术需求参数响应情况进行打分，各项技术参数指标及要求全部满足的得满分，“▲”号重要技术条款，每负偏离一项扣</w:t>
            </w: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分，非“▲”号条款的一般技术参数，每一项负偏离扣</w:t>
            </w:r>
            <w:r>
              <w:rPr>
                <w:rFonts w:hint="eastAsia" w:ascii="宋体" w:hAnsi="宋体" w:cs="宋体"/>
                <w:color w:val="auto"/>
                <w:kern w:val="0"/>
                <w:sz w:val="22"/>
                <w:szCs w:val="22"/>
                <w:highlight w:val="none"/>
                <w:lang w:val="en-US" w:eastAsia="zh-CN"/>
              </w:rPr>
              <w:t>0.5</w:t>
            </w:r>
            <w:r>
              <w:rPr>
                <w:rFonts w:hint="eastAsia" w:ascii="宋体" w:hAnsi="宋体" w:eastAsia="宋体" w:cs="宋体"/>
                <w:color w:val="auto"/>
                <w:kern w:val="0"/>
                <w:sz w:val="22"/>
                <w:szCs w:val="22"/>
                <w:highlight w:val="none"/>
                <w:lang w:val="zh-CN"/>
              </w:rPr>
              <w:t>分，扣完为止。</w:t>
            </w:r>
          </w:p>
          <w:p w14:paraId="3B634D5E">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en-GB" w:eastAsia="zh-CN" w:bidi="ar-SA"/>
              </w:rPr>
            </w:pPr>
            <w:r>
              <w:rPr>
                <w:rFonts w:hint="eastAsia" w:ascii="宋体" w:hAnsi="宋体" w:eastAsia="宋体" w:cs="宋体"/>
                <w:color w:val="auto"/>
                <w:kern w:val="0"/>
                <w:sz w:val="22"/>
                <w:szCs w:val="22"/>
                <w:highlight w:val="none"/>
                <w:lang w:val="zh-CN"/>
              </w:rPr>
              <w:t xml:space="preserve">技术参数中如有参数写明需要提供检测报告、证书、截图等相关证明材料的，须提供相关证明材料并在招标文件中注明证明材料在投标文件中的具体位置，未按要求提供或提供不清晰导致专家无法判断的视为负偏离。 </w:t>
            </w:r>
          </w:p>
        </w:tc>
      </w:tr>
      <w:tr w14:paraId="5EFC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6674C8E3">
            <w:pPr>
              <w:keepNext/>
              <w:keepLines/>
              <w:pageBreakBefore w:val="0"/>
              <w:widowControl w:val="0"/>
              <w:kinsoku/>
              <w:wordWrap/>
              <w:overflowPunct/>
              <w:topLinePunct w:val="0"/>
              <w:bidi w:val="0"/>
              <w:spacing w:line="240" w:lineRule="auto"/>
              <w:jc w:val="center"/>
              <w:textAlignment w:val="auto"/>
              <w:outlineLvl w:val="2"/>
              <w:rPr>
                <w:rFonts w:hint="eastAsia" w:ascii="宋体" w:hAnsi="宋体" w:eastAsia="宋体" w:cs="宋体"/>
                <w:color w:val="auto"/>
                <w:sz w:val="22"/>
                <w:szCs w:val="22"/>
                <w:highlight w:val="none"/>
              </w:rPr>
            </w:pPr>
          </w:p>
        </w:tc>
        <w:tc>
          <w:tcPr>
            <w:tcW w:w="436" w:type="dxa"/>
            <w:shd w:val="clear" w:color="auto" w:fill="auto"/>
            <w:vAlign w:val="center"/>
          </w:tcPr>
          <w:p w14:paraId="0B0906AE">
            <w:pPr>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2</w:t>
            </w:r>
          </w:p>
        </w:tc>
        <w:tc>
          <w:tcPr>
            <w:tcW w:w="1814" w:type="dxa"/>
            <w:shd w:val="clear" w:color="auto" w:fill="auto"/>
            <w:vAlign w:val="center"/>
          </w:tcPr>
          <w:p w14:paraId="243BDD2F">
            <w:pPr>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zh-CN" w:eastAsia="zh-CN" w:bidi="ar-SA"/>
              </w:rPr>
            </w:pPr>
            <w:r>
              <w:rPr>
                <w:rFonts w:hint="eastAsia" w:ascii="宋体" w:hAnsi="宋体" w:eastAsia="宋体" w:cs="宋体"/>
                <w:color w:val="auto"/>
                <w:sz w:val="22"/>
                <w:szCs w:val="22"/>
                <w:highlight w:val="none"/>
              </w:rPr>
              <w:t>项目实施方案</w:t>
            </w:r>
          </w:p>
        </w:tc>
        <w:tc>
          <w:tcPr>
            <w:tcW w:w="720" w:type="dxa"/>
            <w:shd w:val="clear" w:color="auto" w:fill="auto"/>
            <w:vAlign w:val="center"/>
          </w:tcPr>
          <w:p w14:paraId="2DD6D47E">
            <w:pPr>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15</w:t>
            </w:r>
          </w:p>
        </w:tc>
        <w:tc>
          <w:tcPr>
            <w:tcW w:w="755" w:type="dxa"/>
            <w:shd w:val="clear" w:color="auto" w:fill="auto"/>
            <w:vAlign w:val="center"/>
          </w:tcPr>
          <w:p w14:paraId="4D504BF6">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专家打分</w:t>
            </w:r>
          </w:p>
        </w:tc>
        <w:tc>
          <w:tcPr>
            <w:tcW w:w="4328" w:type="dxa"/>
            <w:shd w:val="clear" w:color="auto" w:fill="auto"/>
            <w:vAlign w:val="top"/>
          </w:tcPr>
          <w:p w14:paraId="25231C04">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评分内容：</w:t>
            </w:r>
          </w:p>
          <w:p w14:paraId="357E45D6">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投标人针对本项目的需求制定项目实施方案，内容包含：</w:t>
            </w:r>
          </w:p>
          <w:p w14:paraId="71D68892">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1、项目实施进度表；</w:t>
            </w:r>
          </w:p>
          <w:p w14:paraId="1CE65B9D">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2、相关措施方案；</w:t>
            </w:r>
          </w:p>
          <w:p w14:paraId="0F1DF4E2">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3、质量保证措施方案；</w:t>
            </w:r>
          </w:p>
          <w:p w14:paraId="49C44905">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4、安装调试方案；</w:t>
            </w:r>
          </w:p>
          <w:p w14:paraId="31D89531">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5、验收安排。</w:t>
            </w:r>
          </w:p>
          <w:p w14:paraId="7967F98C">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评分依据：</w:t>
            </w:r>
          </w:p>
          <w:p w14:paraId="111B685B">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每满足以上一项得</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zh-CN"/>
              </w:rPr>
              <w:t>分，最高得</w:t>
            </w:r>
            <w:r>
              <w:rPr>
                <w:rFonts w:hint="eastAsia" w:ascii="宋体" w:hAnsi="宋体" w:eastAsia="宋体" w:cs="宋体"/>
                <w:color w:val="auto"/>
                <w:kern w:val="0"/>
                <w:sz w:val="22"/>
                <w:szCs w:val="22"/>
                <w:highlight w:val="none"/>
              </w:rPr>
              <w:t>5分</w:t>
            </w:r>
            <w:r>
              <w:rPr>
                <w:rFonts w:hint="eastAsia" w:ascii="宋体" w:hAnsi="宋体" w:eastAsia="宋体" w:cs="宋体"/>
                <w:color w:val="auto"/>
                <w:kern w:val="0"/>
                <w:sz w:val="22"/>
                <w:szCs w:val="22"/>
                <w:highlight w:val="none"/>
                <w:lang w:val="zh-CN"/>
              </w:rPr>
              <w:t>。</w:t>
            </w:r>
          </w:p>
          <w:p w14:paraId="27077A1F">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在此上述要求的基础上，评审委员会根据招标文件的需求和投标文件响应情况进行评审：</w:t>
            </w:r>
          </w:p>
          <w:p w14:paraId="59140702">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1、对用户需求理解深</w:t>
            </w:r>
          </w:p>
          <w:p w14:paraId="714119FD">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2、项目实施方案内容全面、具体；</w:t>
            </w:r>
          </w:p>
          <w:p w14:paraId="2EBEC485">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3、项目实施方案内容合理；</w:t>
            </w:r>
          </w:p>
          <w:p w14:paraId="2F302643">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zh-CN"/>
              </w:rPr>
              <w:t>4、项目实施方案针对性强,安排明确。</w:t>
            </w:r>
          </w:p>
          <w:p w14:paraId="1F6F1694">
            <w:pPr>
              <w:pageBreakBefore w:val="0"/>
              <w:widowControl w:val="0"/>
              <w:kinsoku/>
              <w:wordWrap/>
              <w:overflowPunct/>
              <w:topLinePunct w:val="0"/>
              <w:bidi w:val="0"/>
              <w:spacing w:line="240" w:lineRule="auto"/>
              <w:textAlignment w:val="auto"/>
              <w:rPr>
                <w:rFonts w:hint="eastAsia" w:ascii="宋体" w:hAnsi="宋体" w:eastAsia="宋体" w:cs="宋体"/>
                <w:color w:val="auto"/>
                <w:kern w:val="0"/>
                <w:sz w:val="22"/>
                <w:szCs w:val="22"/>
                <w:highlight w:val="none"/>
                <w:lang w:val="zh-CN" w:eastAsia="zh-CN" w:bidi="ar-SA"/>
              </w:rPr>
            </w:pPr>
            <w:r>
              <w:rPr>
                <w:rFonts w:hint="eastAsia" w:ascii="宋体" w:hAnsi="宋体" w:eastAsia="宋体" w:cs="宋体"/>
                <w:color w:val="auto"/>
                <w:kern w:val="0"/>
                <w:sz w:val="22"/>
                <w:szCs w:val="22"/>
                <w:highlight w:val="none"/>
                <w:lang w:val="zh-CN"/>
              </w:rPr>
              <w:t>满足以上四项要求的，得</w:t>
            </w:r>
            <w:r>
              <w:rPr>
                <w:rFonts w:hint="eastAsia" w:ascii="宋体" w:hAnsi="宋体" w:eastAsia="宋体" w:cs="宋体"/>
                <w:color w:val="auto"/>
                <w:kern w:val="0"/>
                <w:sz w:val="22"/>
                <w:szCs w:val="22"/>
                <w:highlight w:val="none"/>
                <w:lang w:val="en-US" w:eastAsia="zh-CN"/>
              </w:rPr>
              <w:t>10</w:t>
            </w:r>
            <w:r>
              <w:rPr>
                <w:rFonts w:hint="eastAsia" w:ascii="宋体" w:hAnsi="宋体" w:eastAsia="宋体" w:cs="宋体"/>
                <w:color w:val="auto"/>
                <w:kern w:val="0"/>
                <w:sz w:val="22"/>
                <w:szCs w:val="22"/>
                <w:highlight w:val="none"/>
                <w:lang w:val="zh-CN"/>
              </w:rPr>
              <w:t>分，满足以上三项要求的，得</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lang w:val="zh-CN"/>
              </w:rPr>
              <w:t>分，满足以上两项要求的，得</w:t>
            </w:r>
            <w:r>
              <w:rPr>
                <w:rFonts w:hint="eastAsia" w:ascii="宋体" w:hAnsi="宋体" w:eastAsia="宋体" w:cs="宋体"/>
                <w:color w:val="auto"/>
                <w:kern w:val="0"/>
                <w:sz w:val="22"/>
                <w:szCs w:val="22"/>
                <w:highlight w:val="none"/>
              </w:rPr>
              <w:t>3</w:t>
            </w:r>
            <w:r>
              <w:rPr>
                <w:rFonts w:hint="eastAsia" w:ascii="宋体" w:hAnsi="宋体" w:eastAsia="宋体" w:cs="宋体"/>
                <w:color w:val="auto"/>
                <w:kern w:val="0"/>
                <w:sz w:val="22"/>
                <w:szCs w:val="22"/>
                <w:highlight w:val="none"/>
                <w:lang w:val="zh-CN"/>
              </w:rPr>
              <w:t>分，满足以上一项要求的，得</w:t>
            </w: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lang w:val="zh-CN"/>
              </w:rPr>
              <w:t>分，其它情况的不得分。</w:t>
            </w:r>
          </w:p>
        </w:tc>
      </w:tr>
      <w:tr w14:paraId="2B42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1D4CBD7D">
            <w:pPr>
              <w:keepNext/>
              <w:keepLines/>
              <w:pageBreakBefore w:val="0"/>
              <w:widowControl w:val="0"/>
              <w:kinsoku/>
              <w:wordWrap/>
              <w:overflowPunct/>
              <w:topLinePunct w:val="0"/>
              <w:bidi w:val="0"/>
              <w:spacing w:line="240" w:lineRule="auto"/>
              <w:jc w:val="center"/>
              <w:textAlignment w:val="auto"/>
              <w:outlineLvl w:val="2"/>
              <w:rPr>
                <w:rFonts w:hint="eastAsia" w:ascii="宋体" w:hAnsi="宋体" w:eastAsia="宋体" w:cs="宋体"/>
                <w:color w:val="auto"/>
                <w:sz w:val="22"/>
                <w:szCs w:val="22"/>
                <w:highlight w:val="none"/>
              </w:rPr>
            </w:pPr>
          </w:p>
        </w:tc>
        <w:tc>
          <w:tcPr>
            <w:tcW w:w="436" w:type="dxa"/>
            <w:shd w:val="clear" w:color="auto" w:fill="auto"/>
            <w:vAlign w:val="center"/>
          </w:tcPr>
          <w:p w14:paraId="32E174D0">
            <w:pPr>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3</w:t>
            </w:r>
          </w:p>
        </w:tc>
        <w:tc>
          <w:tcPr>
            <w:tcW w:w="1814" w:type="dxa"/>
            <w:shd w:val="clear" w:color="auto" w:fill="auto"/>
            <w:vAlign w:val="center"/>
          </w:tcPr>
          <w:p w14:paraId="0702E9A0">
            <w:pPr>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售后服务</w:t>
            </w:r>
          </w:p>
        </w:tc>
        <w:tc>
          <w:tcPr>
            <w:tcW w:w="720" w:type="dxa"/>
            <w:shd w:val="clear" w:color="auto" w:fill="auto"/>
            <w:vAlign w:val="center"/>
          </w:tcPr>
          <w:p w14:paraId="6DD03F76">
            <w:pPr>
              <w:pageBreakBefore w:val="0"/>
              <w:widowControl w:val="0"/>
              <w:kinsoku/>
              <w:wordWrap/>
              <w:overflowPunct/>
              <w:topLinePunct w:val="0"/>
              <w:bidi w:val="0"/>
              <w:adjustRightInd w:val="0"/>
              <w:snapToGrid w:val="0"/>
              <w:spacing w:line="240" w:lineRule="auto"/>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14</w:t>
            </w:r>
          </w:p>
        </w:tc>
        <w:tc>
          <w:tcPr>
            <w:tcW w:w="755" w:type="dxa"/>
            <w:shd w:val="clear" w:color="auto" w:fill="auto"/>
            <w:vAlign w:val="center"/>
          </w:tcPr>
          <w:p w14:paraId="458681C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专家评分</w:t>
            </w:r>
          </w:p>
        </w:tc>
        <w:tc>
          <w:tcPr>
            <w:tcW w:w="4328" w:type="dxa"/>
            <w:shd w:val="clear" w:color="auto" w:fill="auto"/>
            <w:vAlign w:val="center"/>
          </w:tcPr>
          <w:p w14:paraId="2E1B00D0">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1、评审内容：</w:t>
            </w:r>
          </w:p>
          <w:p w14:paraId="02F3353A">
            <w:pPr>
              <w:pageBreakBefore w:val="0"/>
              <w:widowControl w:val="0"/>
              <w:kinsoku/>
              <w:wordWrap/>
              <w:overflowPunct/>
              <w:topLinePunct w:val="0"/>
              <w:bidi w:val="0"/>
              <w:spacing w:line="240" w:lineRule="auto"/>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在满足招标文件要求的基础上，根据维修服务、备品备件供应及价格优惠情况、培训方案和人员安排等方面</w:t>
            </w:r>
            <w:r>
              <w:rPr>
                <w:rFonts w:hint="eastAsia" w:ascii="宋体" w:hAnsi="宋体" w:eastAsia="宋体" w:cs="宋体"/>
                <w:b w:val="0"/>
                <w:bCs w:val="0"/>
                <w:color w:val="auto"/>
                <w:sz w:val="22"/>
                <w:szCs w:val="22"/>
                <w:highlight w:val="none"/>
                <w:lang w:val="zh-CN"/>
              </w:rPr>
              <w:t>制定售后服务方案。</w:t>
            </w:r>
          </w:p>
          <w:p w14:paraId="4086B632">
            <w:pPr>
              <w:pageBreakBefore w:val="0"/>
              <w:widowControl w:val="0"/>
              <w:numPr>
                <w:ilvl w:val="0"/>
                <w:numId w:val="0"/>
              </w:numPr>
              <w:kinsoku/>
              <w:wordWrap/>
              <w:overflowPunct/>
              <w:topLinePunct w:val="0"/>
              <w:bidi w:val="0"/>
              <w:spacing w:line="240" w:lineRule="auto"/>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评分标准：</w:t>
            </w:r>
          </w:p>
          <w:p w14:paraId="008E5A2E">
            <w:pPr>
              <w:pageBreakBefore w:val="0"/>
              <w:widowControl w:val="0"/>
              <w:kinsoku/>
              <w:wordWrap/>
              <w:overflowPunct/>
              <w:topLinePunct w:val="0"/>
              <w:bidi w:val="0"/>
              <w:spacing w:line="240" w:lineRule="auto"/>
              <w:textAlignment w:val="auto"/>
              <w:rPr>
                <w:rFonts w:hint="eastAsia" w:ascii="宋体" w:hAnsi="宋体" w:eastAsia="宋体" w:cs="宋体"/>
                <w:b w:val="0"/>
                <w:bCs w:val="0"/>
                <w:color w:val="auto"/>
                <w:kern w:val="0"/>
                <w:sz w:val="22"/>
                <w:szCs w:val="22"/>
                <w:highlight w:val="none"/>
                <w:lang w:val="zh-CN"/>
              </w:rPr>
            </w:pPr>
            <w:r>
              <w:rPr>
                <w:rFonts w:hint="eastAsia" w:ascii="宋体" w:hAnsi="宋体" w:eastAsia="宋体" w:cs="宋体"/>
                <w:b w:val="0"/>
                <w:bCs w:val="0"/>
                <w:color w:val="auto"/>
                <w:kern w:val="0"/>
                <w:sz w:val="22"/>
                <w:szCs w:val="22"/>
                <w:highlight w:val="none"/>
                <w:lang w:val="zh-CN"/>
              </w:rPr>
              <w:t>每满足以上一项得</w:t>
            </w: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kern w:val="0"/>
                <w:sz w:val="22"/>
                <w:szCs w:val="22"/>
                <w:highlight w:val="none"/>
                <w:lang w:val="zh-CN"/>
              </w:rPr>
              <w:t>分，最高得</w:t>
            </w:r>
            <w:r>
              <w:rPr>
                <w:rFonts w:hint="eastAsia" w:ascii="宋体" w:hAnsi="宋体" w:eastAsia="宋体" w:cs="宋体"/>
                <w:b w:val="0"/>
                <w:bCs w:val="0"/>
                <w:color w:val="auto"/>
                <w:kern w:val="0"/>
                <w:sz w:val="22"/>
                <w:szCs w:val="22"/>
                <w:highlight w:val="none"/>
              </w:rPr>
              <w:t>3分</w:t>
            </w:r>
            <w:r>
              <w:rPr>
                <w:rFonts w:hint="eastAsia" w:ascii="宋体" w:hAnsi="宋体" w:eastAsia="宋体" w:cs="宋体"/>
                <w:b w:val="0"/>
                <w:bCs w:val="0"/>
                <w:color w:val="auto"/>
                <w:kern w:val="0"/>
                <w:sz w:val="22"/>
                <w:szCs w:val="22"/>
                <w:highlight w:val="none"/>
                <w:lang w:val="zh-CN"/>
              </w:rPr>
              <w:t>。</w:t>
            </w:r>
          </w:p>
          <w:p w14:paraId="36E54366">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lang w:val="zh-CN"/>
              </w:rPr>
            </w:pPr>
            <w:r>
              <w:rPr>
                <w:rFonts w:hint="eastAsia" w:ascii="宋体" w:hAnsi="宋体" w:eastAsia="宋体" w:cs="宋体"/>
                <w:b w:val="0"/>
                <w:bCs w:val="0"/>
                <w:color w:val="auto"/>
                <w:sz w:val="22"/>
                <w:szCs w:val="22"/>
                <w:highlight w:val="none"/>
                <w:lang w:val="zh-CN"/>
              </w:rPr>
              <w:t>在此上述要求的基础上，评审委员会根据招标文件的需求和投标文件响应情况进行评审：</w:t>
            </w:r>
          </w:p>
          <w:p w14:paraId="0734EE6F">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zh-CN"/>
              </w:rPr>
              <w:t>1、售后服务方案</w:t>
            </w:r>
            <w:r>
              <w:rPr>
                <w:rFonts w:hint="eastAsia" w:ascii="宋体" w:hAnsi="宋体" w:eastAsia="宋体" w:cs="宋体"/>
                <w:b w:val="0"/>
                <w:bCs w:val="0"/>
                <w:color w:val="auto"/>
                <w:sz w:val="22"/>
                <w:szCs w:val="22"/>
                <w:highlight w:val="none"/>
              </w:rPr>
              <w:t>内容明确；</w:t>
            </w:r>
          </w:p>
          <w:p w14:paraId="54C331CF">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lang w:val="zh-CN"/>
              </w:rPr>
            </w:pPr>
            <w:r>
              <w:rPr>
                <w:rFonts w:hint="eastAsia" w:ascii="宋体" w:hAnsi="宋体" w:eastAsia="宋体" w:cs="宋体"/>
                <w:b w:val="0"/>
                <w:bCs w:val="0"/>
                <w:color w:val="auto"/>
                <w:sz w:val="22"/>
                <w:szCs w:val="22"/>
                <w:highlight w:val="none"/>
                <w:lang w:val="zh-CN"/>
              </w:rPr>
              <w:t>2、售后服务方案内容全面、具体；</w:t>
            </w:r>
          </w:p>
          <w:p w14:paraId="54DB05A7">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lang w:val="zh-CN"/>
              </w:rPr>
            </w:pPr>
            <w:r>
              <w:rPr>
                <w:rFonts w:hint="eastAsia" w:ascii="宋体" w:hAnsi="宋体" w:eastAsia="宋体" w:cs="宋体"/>
                <w:b w:val="0"/>
                <w:bCs w:val="0"/>
                <w:color w:val="auto"/>
                <w:sz w:val="22"/>
                <w:szCs w:val="22"/>
                <w:highlight w:val="none"/>
                <w:lang w:val="zh-CN"/>
              </w:rPr>
              <w:t>3、售后服务方案内容合理；</w:t>
            </w:r>
          </w:p>
          <w:p w14:paraId="0DF580CE">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sz w:val="22"/>
                <w:szCs w:val="22"/>
                <w:highlight w:val="none"/>
                <w:lang w:val="zh-CN"/>
              </w:rPr>
            </w:pPr>
            <w:r>
              <w:rPr>
                <w:rFonts w:hint="eastAsia" w:ascii="宋体" w:hAnsi="宋体" w:eastAsia="宋体" w:cs="宋体"/>
                <w:b w:val="0"/>
                <w:bCs w:val="0"/>
                <w:color w:val="auto"/>
                <w:sz w:val="22"/>
                <w:szCs w:val="22"/>
                <w:highlight w:val="none"/>
                <w:lang w:val="zh-CN"/>
              </w:rPr>
              <w:t>4、售后服务方案针对性强，可操作性强。</w:t>
            </w:r>
          </w:p>
          <w:p w14:paraId="6F3D0A0E">
            <w:pPr>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val="0"/>
                <w:bCs w:val="0"/>
                <w:color w:val="auto"/>
                <w:kern w:val="2"/>
                <w:sz w:val="22"/>
                <w:szCs w:val="22"/>
                <w:highlight w:val="none"/>
                <w:lang w:val="en-GB" w:eastAsia="zh-CN" w:bidi="ar-SA"/>
              </w:rPr>
            </w:pPr>
            <w:r>
              <w:rPr>
                <w:rFonts w:hint="eastAsia" w:ascii="宋体" w:hAnsi="宋体" w:eastAsia="宋体" w:cs="宋体"/>
                <w:b w:val="0"/>
                <w:bCs w:val="0"/>
                <w:color w:val="auto"/>
                <w:sz w:val="22"/>
                <w:szCs w:val="22"/>
                <w:highlight w:val="none"/>
                <w:lang w:val="zh-CN"/>
              </w:rPr>
              <w:t>满足以上四项要求的，得</w:t>
            </w: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zh-CN"/>
              </w:rPr>
              <w:t>分，满足以上三项要求的，得</w:t>
            </w:r>
            <w:r>
              <w:rPr>
                <w:rFonts w:hint="eastAsia" w:ascii="宋体" w:hAnsi="宋体" w:eastAsia="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zh-CN"/>
              </w:rPr>
              <w:t>分，满足以上两项要求的，得</w:t>
            </w: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zh-CN"/>
              </w:rPr>
              <w:t>分，满足以上</w:t>
            </w:r>
            <w:r>
              <w:rPr>
                <w:rFonts w:hint="eastAsia" w:ascii="宋体" w:hAnsi="宋体" w:eastAsia="宋体" w:cs="宋体"/>
                <w:b w:val="0"/>
                <w:bCs w:val="0"/>
                <w:color w:val="auto"/>
                <w:sz w:val="22"/>
                <w:szCs w:val="22"/>
                <w:highlight w:val="none"/>
              </w:rPr>
              <w:t>一</w:t>
            </w:r>
            <w:r>
              <w:rPr>
                <w:rFonts w:hint="eastAsia" w:ascii="宋体" w:hAnsi="宋体" w:eastAsia="宋体" w:cs="宋体"/>
                <w:b w:val="0"/>
                <w:bCs w:val="0"/>
                <w:color w:val="auto"/>
                <w:sz w:val="22"/>
                <w:szCs w:val="22"/>
                <w:highlight w:val="none"/>
                <w:lang w:val="zh-CN"/>
              </w:rPr>
              <w:t>项要求的，得</w:t>
            </w:r>
            <w:r>
              <w:rPr>
                <w:rFonts w:hint="eastAsia" w:ascii="宋体" w:hAnsi="宋体" w:eastAsia="宋体" w:cs="宋体"/>
                <w:b w:val="0"/>
                <w:bCs w:val="0"/>
                <w:color w:val="auto"/>
                <w:sz w:val="22"/>
                <w:szCs w:val="22"/>
                <w:highlight w:val="none"/>
              </w:rPr>
              <w:t>2</w:t>
            </w:r>
            <w:r>
              <w:rPr>
                <w:rFonts w:hint="eastAsia" w:ascii="宋体" w:hAnsi="宋体" w:eastAsia="宋体" w:cs="宋体"/>
                <w:b w:val="0"/>
                <w:bCs w:val="0"/>
                <w:color w:val="auto"/>
                <w:sz w:val="22"/>
                <w:szCs w:val="22"/>
                <w:highlight w:val="none"/>
                <w:lang w:val="zh-CN"/>
              </w:rPr>
              <w:t>分，其它情况的不得分。</w:t>
            </w:r>
          </w:p>
        </w:tc>
      </w:tr>
      <w:tr w14:paraId="1010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Align w:val="center"/>
          </w:tcPr>
          <w:p w14:paraId="22C456FD">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w:t>
            </w:r>
          </w:p>
        </w:tc>
        <w:tc>
          <w:tcPr>
            <w:tcW w:w="3725" w:type="dxa"/>
            <w:gridSpan w:val="4"/>
            <w:vAlign w:val="center"/>
          </w:tcPr>
          <w:p w14:paraId="37921372">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商务部分</w:t>
            </w:r>
          </w:p>
        </w:tc>
        <w:tc>
          <w:tcPr>
            <w:tcW w:w="4328" w:type="dxa"/>
            <w:vAlign w:val="center"/>
          </w:tcPr>
          <w:p w14:paraId="126C3F58">
            <w:pPr>
              <w:pageBreakBefore w:val="0"/>
              <w:widowControl w:val="0"/>
              <w:kinsoku/>
              <w:wordWrap/>
              <w:overflowPunct/>
              <w:topLinePunct w:val="0"/>
              <w:bidi w:val="0"/>
              <w:spacing w:line="240" w:lineRule="auto"/>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w:t>
            </w:r>
          </w:p>
        </w:tc>
      </w:tr>
      <w:tr w14:paraId="0AF4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restart"/>
            <w:vAlign w:val="center"/>
          </w:tcPr>
          <w:p w14:paraId="38AD3FD0">
            <w:pPr>
              <w:keepNext/>
              <w:keepLines/>
              <w:pageBreakBefore w:val="0"/>
              <w:widowControl w:val="0"/>
              <w:kinsoku/>
              <w:wordWrap/>
              <w:overflowPunct/>
              <w:topLinePunct w:val="0"/>
              <w:bidi w:val="0"/>
              <w:spacing w:line="240" w:lineRule="auto"/>
              <w:jc w:val="center"/>
              <w:textAlignment w:val="auto"/>
              <w:outlineLvl w:val="0"/>
              <w:rPr>
                <w:rFonts w:hint="eastAsia" w:ascii="宋体" w:hAnsi="宋体" w:eastAsia="宋体" w:cs="宋体"/>
                <w:color w:val="auto"/>
                <w:sz w:val="22"/>
                <w:szCs w:val="22"/>
                <w:highlight w:val="none"/>
              </w:rPr>
            </w:pPr>
          </w:p>
        </w:tc>
        <w:tc>
          <w:tcPr>
            <w:tcW w:w="436" w:type="dxa"/>
            <w:vAlign w:val="center"/>
          </w:tcPr>
          <w:p w14:paraId="6381572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814" w:type="dxa"/>
            <w:vAlign w:val="center"/>
          </w:tcPr>
          <w:p w14:paraId="68850340">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评审因素</w:t>
            </w:r>
          </w:p>
        </w:tc>
        <w:tc>
          <w:tcPr>
            <w:tcW w:w="720" w:type="dxa"/>
            <w:vAlign w:val="center"/>
          </w:tcPr>
          <w:p w14:paraId="75B8BCB1">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权重</w:t>
            </w:r>
          </w:p>
        </w:tc>
        <w:tc>
          <w:tcPr>
            <w:tcW w:w="755" w:type="dxa"/>
            <w:vAlign w:val="center"/>
          </w:tcPr>
          <w:p w14:paraId="55CAFE1D">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评分方式</w:t>
            </w:r>
          </w:p>
        </w:tc>
        <w:tc>
          <w:tcPr>
            <w:tcW w:w="4328" w:type="dxa"/>
            <w:vAlign w:val="center"/>
          </w:tcPr>
          <w:p w14:paraId="6D733A9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评分准则</w:t>
            </w:r>
          </w:p>
        </w:tc>
      </w:tr>
      <w:tr w14:paraId="087B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3AEA2183">
            <w:pPr>
              <w:keepNext/>
              <w:keepLines/>
              <w:pageBreakBefore w:val="0"/>
              <w:widowControl w:val="0"/>
              <w:kinsoku/>
              <w:wordWrap/>
              <w:overflowPunct/>
              <w:topLinePunct w:val="0"/>
              <w:bidi w:val="0"/>
              <w:spacing w:line="240" w:lineRule="auto"/>
              <w:jc w:val="center"/>
              <w:textAlignment w:val="auto"/>
              <w:outlineLvl w:val="0"/>
              <w:rPr>
                <w:rFonts w:hint="eastAsia" w:ascii="宋体" w:hAnsi="宋体" w:eastAsia="宋体" w:cs="宋体"/>
                <w:color w:val="auto"/>
                <w:sz w:val="22"/>
                <w:szCs w:val="22"/>
                <w:highlight w:val="none"/>
              </w:rPr>
            </w:pPr>
          </w:p>
        </w:tc>
        <w:tc>
          <w:tcPr>
            <w:tcW w:w="436" w:type="dxa"/>
            <w:vAlign w:val="center"/>
          </w:tcPr>
          <w:p w14:paraId="01A456B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814" w:type="dxa"/>
            <w:vAlign w:val="center"/>
          </w:tcPr>
          <w:p w14:paraId="2B7EA58A">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免费保修期内售后服务条款偏离情况</w:t>
            </w:r>
          </w:p>
        </w:tc>
        <w:tc>
          <w:tcPr>
            <w:tcW w:w="720" w:type="dxa"/>
            <w:vAlign w:val="center"/>
          </w:tcPr>
          <w:p w14:paraId="765C0BA5">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755" w:type="dxa"/>
            <w:vAlign w:val="center"/>
          </w:tcPr>
          <w:p w14:paraId="7965FE84">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专家评分</w:t>
            </w:r>
          </w:p>
        </w:tc>
        <w:tc>
          <w:tcPr>
            <w:tcW w:w="4328" w:type="dxa"/>
            <w:vAlign w:val="center"/>
          </w:tcPr>
          <w:p w14:paraId="7F529CF3">
            <w:pPr>
              <w:pageBreakBefore w:val="0"/>
              <w:widowControl w:val="0"/>
              <w:kinsoku/>
              <w:wordWrap/>
              <w:overflowPunct/>
              <w:topLinePunct w:val="0"/>
              <w:bidi w:val="0"/>
              <w:spacing w:line="240" w:lineRule="auto"/>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（一）评分内容：投标人应如实填写《商务条款偏离表（免费保修期内售后服务要求）》，评审委员会根据响应情况进行打分，全部满足要求的得2分，每负偏离一项扣</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rPr>
              <w:t>分，扣完为止。</w:t>
            </w:r>
          </w:p>
        </w:tc>
      </w:tr>
      <w:tr w14:paraId="2AD7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28D71439">
            <w:pPr>
              <w:keepNext/>
              <w:keepLines/>
              <w:pageBreakBefore w:val="0"/>
              <w:widowControl w:val="0"/>
              <w:kinsoku/>
              <w:wordWrap/>
              <w:overflowPunct/>
              <w:topLinePunct w:val="0"/>
              <w:bidi w:val="0"/>
              <w:spacing w:line="240" w:lineRule="auto"/>
              <w:jc w:val="center"/>
              <w:textAlignment w:val="auto"/>
              <w:outlineLvl w:val="2"/>
              <w:rPr>
                <w:rFonts w:hint="eastAsia" w:ascii="宋体" w:hAnsi="宋体" w:eastAsia="宋体" w:cs="宋体"/>
                <w:color w:val="auto"/>
                <w:sz w:val="22"/>
                <w:szCs w:val="22"/>
                <w:highlight w:val="none"/>
              </w:rPr>
            </w:pPr>
          </w:p>
        </w:tc>
        <w:tc>
          <w:tcPr>
            <w:tcW w:w="436" w:type="dxa"/>
            <w:vAlign w:val="center"/>
          </w:tcPr>
          <w:p w14:paraId="1EED3460">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1814" w:type="dxa"/>
            <w:vAlign w:val="center"/>
          </w:tcPr>
          <w:p w14:paraId="6EDDC350">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免费保修期外售后服务条款偏离情况</w:t>
            </w:r>
          </w:p>
        </w:tc>
        <w:tc>
          <w:tcPr>
            <w:tcW w:w="720" w:type="dxa"/>
            <w:vAlign w:val="center"/>
          </w:tcPr>
          <w:p w14:paraId="216AC0CE">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755" w:type="dxa"/>
            <w:vAlign w:val="center"/>
          </w:tcPr>
          <w:p w14:paraId="7E5E2AE4">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专家评分</w:t>
            </w:r>
          </w:p>
        </w:tc>
        <w:tc>
          <w:tcPr>
            <w:tcW w:w="4328" w:type="dxa"/>
            <w:vAlign w:val="center"/>
          </w:tcPr>
          <w:p w14:paraId="5D90B089">
            <w:pPr>
              <w:pageBreakBefore w:val="0"/>
              <w:widowControl w:val="0"/>
              <w:kinsoku/>
              <w:wordWrap/>
              <w:overflowPunct/>
              <w:topLinePunct w:val="0"/>
              <w:bidi w:val="0"/>
              <w:spacing w:line="240" w:lineRule="auto"/>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（一）评分内容：投标人应如实填写《商务条款偏离表（免费保修期外售后服务要求）》，评审委员会根据响应情况进行打分，全部满足要求的得2分，每负偏离一项扣</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rPr>
              <w:t>分，扣完为止。</w:t>
            </w:r>
          </w:p>
        </w:tc>
      </w:tr>
      <w:tr w14:paraId="5B34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3CA17D02">
            <w:pPr>
              <w:keepNext/>
              <w:keepLines/>
              <w:pageBreakBefore w:val="0"/>
              <w:widowControl w:val="0"/>
              <w:kinsoku/>
              <w:wordWrap/>
              <w:overflowPunct/>
              <w:topLinePunct w:val="0"/>
              <w:bidi w:val="0"/>
              <w:spacing w:line="240" w:lineRule="auto"/>
              <w:jc w:val="center"/>
              <w:textAlignment w:val="auto"/>
              <w:outlineLvl w:val="2"/>
              <w:rPr>
                <w:rFonts w:hint="eastAsia" w:ascii="宋体" w:hAnsi="宋体" w:eastAsia="宋体" w:cs="宋体"/>
                <w:color w:val="auto"/>
                <w:sz w:val="22"/>
                <w:szCs w:val="22"/>
                <w:highlight w:val="none"/>
              </w:rPr>
            </w:pPr>
          </w:p>
        </w:tc>
        <w:tc>
          <w:tcPr>
            <w:tcW w:w="436" w:type="dxa"/>
            <w:vAlign w:val="center"/>
          </w:tcPr>
          <w:p w14:paraId="0B914E4A">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1814" w:type="dxa"/>
            <w:vAlign w:val="center"/>
          </w:tcPr>
          <w:p w14:paraId="0C883F41">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其他商务条款偏离情况</w:t>
            </w:r>
          </w:p>
        </w:tc>
        <w:tc>
          <w:tcPr>
            <w:tcW w:w="720" w:type="dxa"/>
            <w:vAlign w:val="center"/>
          </w:tcPr>
          <w:p w14:paraId="53B8393B">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755" w:type="dxa"/>
            <w:vAlign w:val="center"/>
          </w:tcPr>
          <w:p w14:paraId="60A93D0B">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专家评分</w:t>
            </w:r>
          </w:p>
        </w:tc>
        <w:tc>
          <w:tcPr>
            <w:tcW w:w="4328" w:type="dxa"/>
            <w:vAlign w:val="center"/>
          </w:tcPr>
          <w:p w14:paraId="3A03755E">
            <w:pPr>
              <w:pageBreakBefore w:val="0"/>
              <w:widowControl w:val="0"/>
              <w:kinsoku/>
              <w:wordWrap/>
              <w:overflowPunct/>
              <w:topLinePunct w:val="0"/>
              <w:bidi w:val="0"/>
              <w:spacing w:line="240" w:lineRule="auto"/>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（一）评分内容：投标人应如实填写《商务条款偏离表（其他商务要求）》，评审委员会根据响应情况进行打分，全部满足要求的得1分，每负偏离一项扣0.</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分，扣完为止。</w:t>
            </w:r>
          </w:p>
        </w:tc>
      </w:tr>
      <w:tr w14:paraId="6FB6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Align w:val="center"/>
          </w:tcPr>
          <w:p w14:paraId="64E2F59A">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3725" w:type="dxa"/>
            <w:gridSpan w:val="4"/>
            <w:vAlign w:val="center"/>
          </w:tcPr>
          <w:p w14:paraId="59BA317B">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诚信情况</w:t>
            </w:r>
          </w:p>
        </w:tc>
        <w:tc>
          <w:tcPr>
            <w:tcW w:w="4328" w:type="dxa"/>
            <w:vAlign w:val="center"/>
          </w:tcPr>
          <w:p w14:paraId="29C0D431">
            <w:pPr>
              <w:pageBreakBefore w:val="0"/>
              <w:widowControl w:val="0"/>
              <w:kinsoku/>
              <w:wordWrap/>
              <w:overflowPunct/>
              <w:topLinePunct w:val="0"/>
              <w:bidi w:val="0"/>
              <w:snapToGrid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r>
      <w:tr w14:paraId="12C1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restart"/>
            <w:vAlign w:val="center"/>
          </w:tcPr>
          <w:p w14:paraId="61DB973F">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p>
        </w:tc>
        <w:tc>
          <w:tcPr>
            <w:tcW w:w="436" w:type="dxa"/>
            <w:vAlign w:val="center"/>
          </w:tcPr>
          <w:p w14:paraId="7B2629F3">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814" w:type="dxa"/>
            <w:vAlign w:val="center"/>
          </w:tcPr>
          <w:p w14:paraId="2BE4F9B8">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评审因素</w:t>
            </w:r>
          </w:p>
        </w:tc>
        <w:tc>
          <w:tcPr>
            <w:tcW w:w="720" w:type="dxa"/>
            <w:vAlign w:val="center"/>
          </w:tcPr>
          <w:p w14:paraId="588E3B35">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权重</w:t>
            </w:r>
          </w:p>
        </w:tc>
        <w:tc>
          <w:tcPr>
            <w:tcW w:w="755" w:type="dxa"/>
            <w:vAlign w:val="center"/>
          </w:tcPr>
          <w:p w14:paraId="382AE8FC">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评分方式</w:t>
            </w:r>
          </w:p>
        </w:tc>
        <w:tc>
          <w:tcPr>
            <w:tcW w:w="4328" w:type="dxa"/>
            <w:vAlign w:val="center"/>
          </w:tcPr>
          <w:p w14:paraId="77C79D8D">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评分准则</w:t>
            </w:r>
          </w:p>
        </w:tc>
      </w:tr>
      <w:tr w14:paraId="3B2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37" w:type="dxa"/>
            <w:vMerge w:val="continue"/>
            <w:vAlign w:val="center"/>
          </w:tcPr>
          <w:p w14:paraId="3DCB14FA">
            <w:pPr>
              <w:keepNext/>
              <w:keepLines/>
              <w:pageBreakBefore w:val="0"/>
              <w:widowControl w:val="0"/>
              <w:kinsoku/>
              <w:wordWrap/>
              <w:overflowPunct/>
              <w:topLinePunct w:val="0"/>
              <w:bidi w:val="0"/>
              <w:spacing w:line="240" w:lineRule="auto"/>
              <w:jc w:val="center"/>
              <w:textAlignment w:val="auto"/>
              <w:outlineLvl w:val="0"/>
              <w:rPr>
                <w:rFonts w:hint="eastAsia" w:ascii="宋体" w:hAnsi="宋体" w:eastAsia="宋体" w:cs="宋体"/>
                <w:color w:val="auto"/>
                <w:sz w:val="22"/>
                <w:szCs w:val="22"/>
                <w:highlight w:val="none"/>
              </w:rPr>
            </w:pPr>
          </w:p>
        </w:tc>
        <w:tc>
          <w:tcPr>
            <w:tcW w:w="436" w:type="dxa"/>
            <w:vAlign w:val="center"/>
          </w:tcPr>
          <w:p w14:paraId="4B36CB82">
            <w:pPr>
              <w:pageBreakBefore w:val="0"/>
              <w:widowControl w:val="0"/>
              <w:kinsoku/>
              <w:wordWrap/>
              <w:overflowPunct/>
              <w:topLinePunct w:val="0"/>
              <w:bidi w:val="0"/>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814" w:type="dxa"/>
            <w:vAlign w:val="center"/>
          </w:tcPr>
          <w:p w14:paraId="73FA59D6">
            <w:pPr>
              <w:autoSpaceDE w:val="0"/>
              <w:autoSpaceDN w:val="0"/>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诚信情况</w:t>
            </w:r>
          </w:p>
        </w:tc>
        <w:tc>
          <w:tcPr>
            <w:tcW w:w="720" w:type="dxa"/>
            <w:vAlign w:val="center"/>
          </w:tcPr>
          <w:p w14:paraId="59FC9D31">
            <w:pPr>
              <w:autoSpaceDE w:val="0"/>
              <w:autoSpaceDN w:val="0"/>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755" w:type="dxa"/>
            <w:vAlign w:val="center"/>
          </w:tcPr>
          <w:p w14:paraId="6E648BA5">
            <w:pPr>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专家评分</w:t>
            </w:r>
          </w:p>
        </w:tc>
        <w:tc>
          <w:tcPr>
            <w:tcW w:w="4328" w:type="dxa"/>
            <w:vAlign w:val="center"/>
          </w:tcPr>
          <w:p w14:paraId="7DE0E035">
            <w:pPr>
              <w:pageBreakBefore w:val="0"/>
              <w:widowControl w:val="0"/>
              <w:kinsoku/>
              <w:wordWrap/>
              <w:overflowPunct/>
              <w:topLinePunct w:val="0"/>
              <w:bidi w:val="0"/>
              <w:spacing w:line="240" w:lineRule="auto"/>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val="zh-CN" w:eastAsia="zh-CN"/>
              </w:rPr>
              <w:t>投标人在参与政府采购活动中存在诚信相关问题且在主管部门相关处理措施实施期限内的，本项不得分，否则得满分。</w:t>
            </w:r>
          </w:p>
          <w:p w14:paraId="5DA2FF6F">
            <w:pPr>
              <w:pageBreakBefore w:val="0"/>
              <w:widowControl w:val="0"/>
              <w:kinsoku/>
              <w:wordWrap/>
              <w:overflowPunct/>
              <w:topLinePunct w:val="0"/>
              <w:bidi w:val="0"/>
              <w:spacing w:line="240" w:lineRule="auto"/>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eastAsia="zh-CN"/>
              </w:rPr>
              <w:t>投标人必须提供《诚信承诺函》（按投标文件格式要求填写），未按要求提供不得分。如若投标人承诺与实际情况不相符，将按照虚假投标的情况报相关主管部门处理。</w:t>
            </w:r>
          </w:p>
        </w:tc>
      </w:tr>
    </w:tbl>
    <w:p w14:paraId="2A93D8E2">
      <w:pPr>
        <w:rPr>
          <w:color w:val="auto"/>
          <w:sz w:val="22"/>
          <w:highlight w:val="none"/>
        </w:rPr>
      </w:pPr>
      <w:r>
        <w:rPr>
          <w:color w:val="auto"/>
          <w:sz w:val="22"/>
          <w:highlight w:val="none"/>
        </w:rPr>
        <w:t>备注：</w:t>
      </w:r>
    </w:p>
    <w:p w14:paraId="4F32DEAE">
      <w:pPr>
        <w:rPr>
          <w:color w:val="auto"/>
          <w:sz w:val="22"/>
          <w:highlight w:val="none"/>
        </w:rPr>
      </w:pPr>
      <w:r>
        <w:rPr>
          <w:color w:val="auto"/>
          <w:sz w:val="22"/>
          <w:highlight w:val="none"/>
        </w:rPr>
        <w:t>1.价格、技术、商务部分累加分为100分。</w:t>
      </w:r>
    </w:p>
    <w:p w14:paraId="05C29541">
      <w:pPr>
        <w:rPr>
          <w:color w:val="auto"/>
          <w:sz w:val="22"/>
          <w:highlight w:val="none"/>
        </w:rPr>
      </w:pPr>
      <w:r>
        <w:rPr>
          <w:color w:val="auto"/>
          <w:sz w:val="22"/>
          <w:highlight w:val="none"/>
        </w:rPr>
        <w:t>2.各投标人得分精确到小数点后两位。</w:t>
      </w:r>
    </w:p>
    <w:p w14:paraId="007F32FC">
      <w:pPr>
        <w:spacing w:line="360" w:lineRule="exact"/>
        <w:rPr>
          <w:color w:val="auto"/>
          <w:sz w:val="24"/>
          <w:highlight w:val="none"/>
        </w:rPr>
      </w:pPr>
      <w:r>
        <w:rPr>
          <w:color w:val="auto"/>
          <w:highlight w:val="none"/>
        </w:rPr>
        <w:br w:type="page"/>
      </w:r>
      <w:bookmarkStart w:id="3" w:name="bt技术标投标文件格式"/>
      <w:bookmarkEnd w:id="3"/>
      <w:bookmarkStart w:id="4" w:name="bt投标人须知"/>
      <w:bookmarkEnd w:id="4"/>
      <w:bookmarkStart w:id="5" w:name="bt投标报价汇总表"/>
      <w:bookmarkEnd w:id="5"/>
      <w:bookmarkStart w:id="6" w:name="bt其他资料2"/>
      <w:bookmarkEnd w:id="6"/>
      <w:bookmarkStart w:id="7" w:name="bt合同格式"/>
      <w:bookmarkEnd w:id="7"/>
      <w:bookmarkStart w:id="8" w:name="bt投标函"/>
      <w:bookmarkEnd w:id="8"/>
      <w:bookmarkStart w:id="9" w:name="bt合同条款"/>
      <w:bookmarkEnd w:id="9"/>
      <w:bookmarkStart w:id="10" w:name="bt开标一览表"/>
      <w:bookmarkEnd w:id="10"/>
      <w:bookmarkStart w:id="11" w:name="bt项目管理班子配备情况"/>
      <w:bookmarkEnd w:id="11"/>
      <w:bookmarkStart w:id="12" w:name="bt投标人情况介绍"/>
      <w:bookmarkEnd w:id="12"/>
      <w:bookmarkStart w:id="13" w:name="合同格式"/>
      <w:bookmarkEnd w:id="13"/>
      <w:bookmarkStart w:id="14" w:name="bt本工程承诺书"/>
      <w:bookmarkEnd w:id="14"/>
      <w:bookmarkStart w:id="15" w:name="bt合同条款及格式"/>
      <w:bookmarkEnd w:id="15"/>
      <w:bookmarkStart w:id="16" w:name="bt说明"/>
      <w:bookmarkEnd w:id="16"/>
      <w:bookmarkStart w:id="17" w:name="bt商务标投标文件格式"/>
      <w:bookmarkEnd w:id="17"/>
      <w:bookmarkStart w:id="18" w:name="bt投标文件签署授权委托书"/>
      <w:bookmarkEnd w:id="18"/>
      <w:bookmarkStart w:id="19" w:name="bt其他资料由投标人自定"/>
      <w:bookmarkEnd w:id="19"/>
    </w:p>
    <w:p w14:paraId="6288542F">
      <w:pPr>
        <w:rPr>
          <w:color w:val="auto"/>
          <w:sz w:val="24"/>
          <w:highlight w:val="none"/>
        </w:rPr>
      </w:pPr>
    </w:p>
    <w:p w14:paraId="6F691BCC">
      <w:pPr>
        <w:rPr>
          <w:color w:val="auto"/>
          <w:sz w:val="24"/>
          <w:highlight w:val="none"/>
        </w:rPr>
      </w:pPr>
    </w:p>
    <w:p w14:paraId="17E5E1F2">
      <w:pPr>
        <w:rPr>
          <w:color w:val="auto"/>
          <w:sz w:val="24"/>
          <w:highlight w:val="none"/>
        </w:rPr>
      </w:pPr>
    </w:p>
    <w:p w14:paraId="0D2B5997">
      <w:pPr>
        <w:rPr>
          <w:color w:val="auto"/>
          <w:sz w:val="24"/>
          <w:highlight w:val="none"/>
        </w:rPr>
      </w:pPr>
    </w:p>
    <w:p w14:paraId="127488D7">
      <w:pPr>
        <w:rPr>
          <w:color w:val="auto"/>
          <w:sz w:val="24"/>
          <w:highlight w:val="none"/>
        </w:rPr>
      </w:pPr>
    </w:p>
    <w:p w14:paraId="0039FE8B">
      <w:pPr>
        <w:rPr>
          <w:color w:val="auto"/>
          <w:sz w:val="24"/>
          <w:highlight w:val="none"/>
        </w:rPr>
      </w:pPr>
    </w:p>
    <w:p w14:paraId="3B4EA8B9">
      <w:pPr>
        <w:rPr>
          <w:color w:val="auto"/>
          <w:sz w:val="24"/>
          <w:highlight w:val="none"/>
        </w:rPr>
      </w:pPr>
    </w:p>
    <w:p w14:paraId="7B1E8058">
      <w:pPr>
        <w:rPr>
          <w:color w:val="auto"/>
          <w:sz w:val="24"/>
          <w:highlight w:val="none"/>
        </w:rPr>
      </w:pPr>
    </w:p>
    <w:p w14:paraId="0D5AD6D2">
      <w:pPr>
        <w:rPr>
          <w:color w:val="auto"/>
          <w:sz w:val="24"/>
          <w:highlight w:val="none"/>
        </w:rPr>
      </w:pPr>
    </w:p>
    <w:p w14:paraId="3380FBAB">
      <w:pPr>
        <w:rPr>
          <w:color w:val="auto"/>
          <w:sz w:val="24"/>
          <w:highlight w:val="none"/>
        </w:rPr>
      </w:pPr>
    </w:p>
    <w:p w14:paraId="127DD1AD">
      <w:pPr>
        <w:rPr>
          <w:color w:val="auto"/>
          <w:sz w:val="24"/>
          <w:highlight w:val="none"/>
        </w:rPr>
      </w:pPr>
    </w:p>
    <w:p w14:paraId="2C7C4B86">
      <w:pPr>
        <w:rPr>
          <w:color w:val="auto"/>
          <w:sz w:val="24"/>
          <w:highlight w:val="none"/>
        </w:rPr>
      </w:pPr>
    </w:p>
    <w:p w14:paraId="300E1BDF">
      <w:pPr>
        <w:rPr>
          <w:color w:val="auto"/>
          <w:sz w:val="24"/>
          <w:highlight w:val="none"/>
        </w:rPr>
      </w:pPr>
    </w:p>
    <w:p w14:paraId="1A2627DD">
      <w:pPr>
        <w:rPr>
          <w:color w:val="auto"/>
          <w:sz w:val="24"/>
          <w:highlight w:val="none"/>
        </w:rPr>
      </w:pPr>
    </w:p>
    <w:p w14:paraId="6285E04F">
      <w:pPr>
        <w:rPr>
          <w:color w:val="auto"/>
          <w:sz w:val="24"/>
          <w:highlight w:val="none"/>
        </w:rPr>
      </w:pPr>
    </w:p>
    <w:p w14:paraId="68F197FA">
      <w:pPr>
        <w:rPr>
          <w:color w:val="auto"/>
          <w:sz w:val="24"/>
          <w:highlight w:val="none"/>
        </w:rPr>
      </w:pPr>
    </w:p>
    <w:p w14:paraId="0A2DA1F1">
      <w:pPr>
        <w:pStyle w:val="2"/>
        <w:rPr>
          <w:rFonts w:hint="eastAsia" w:ascii="宋体" w:hAnsi="宋体" w:cs="宋体"/>
          <w:bCs w:val="0"/>
          <w:color w:val="auto"/>
          <w:sz w:val="52"/>
          <w:szCs w:val="52"/>
          <w:highlight w:val="none"/>
        </w:rPr>
      </w:pPr>
      <w:r>
        <w:rPr>
          <w:rFonts w:hint="eastAsia" w:ascii="宋体" w:hAnsi="宋体" w:cs="宋体"/>
          <w:bCs w:val="0"/>
          <w:color w:val="auto"/>
          <w:sz w:val="52"/>
          <w:szCs w:val="52"/>
          <w:highlight w:val="none"/>
        </w:rPr>
        <w:t>第一册  专用条款</w:t>
      </w:r>
    </w:p>
    <w:p w14:paraId="36D156D8">
      <w:pPr>
        <w:rPr>
          <w:color w:val="auto"/>
          <w:highlight w:val="none"/>
        </w:rPr>
      </w:pPr>
    </w:p>
    <w:p w14:paraId="537BA7EF">
      <w:pPr>
        <w:rPr>
          <w:color w:val="auto"/>
          <w:highlight w:val="none"/>
        </w:rPr>
      </w:pPr>
      <w:r>
        <w:rPr>
          <w:color w:val="auto"/>
          <w:highlight w:val="none"/>
        </w:rPr>
        <w:br w:type="page"/>
      </w:r>
    </w:p>
    <w:p w14:paraId="2961879D">
      <w:pPr>
        <w:pStyle w:val="3"/>
        <w:rPr>
          <w:rFonts w:hint="eastAsia"/>
          <w:bCs/>
          <w:color w:val="auto"/>
          <w:sz w:val="40"/>
          <w:szCs w:val="40"/>
          <w:highlight w:val="none"/>
        </w:rPr>
      </w:pPr>
      <w:r>
        <w:rPr>
          <w:rFonts w:hint="eastAsia"/>
          <w:bCs/>
          <w:color w:val="auto"/>
          <w:sz w:val="40"/>
          <w:szCs w:val="40"/>
          <w:highlight w:val="none"/>
        </w:rPr>
        <w:t>第一章  招标公告</w:t>
      </w:r>
    </w:p>
    <w:p w14:paraId="130D342B">
      <w:pPr>
        <w:pStyle w:val="39"/>
        <w:widowControl/>
        <w:shd w:val="clear" w:color="auto" w:fill="FFFFFF"/>
        <w:spacing w:line="360" w:lineRule="atLeast"/>
        <w:ind w:firstLine="435"/>
        <w:jc w:val="left"/>
        <w:rPr>
          <w:color w:val="auto"/>
          <w:highlight w:val="none"/>
        </w:rPr>
      </w:pPr>
      <w:r>
        <w:rPr>
          <w:rFonts w:hint="eastAsia" w:ascii="宋体" w:hAnsi="宋体" w:cs="宋体"/>
          <w:color w:val="auto"/>
          <w:sz w:val="22"/>
          <w:szCs w:val="22"/>
          <w:highlight w:val="none"/>
          <w:shd w:val="clear" w:color="auto" w:fill="FFFFFF"/>
        </w:rPr>
        <w:t>深圳市东海国际招标有限公司（以下简称“采购代理机构”）受采购人委托，就</w:t>
      </w:r>
      <w:r>
        <w:rPr>
          <w:rFonts w:hint="eastAsia" w:ascii="宋体" w:hAnsi="宋体" w:cs="宋体"/>
          <w:color w:val="auto"/>
          <w:sz w:val="22"/>
          <w:szCs w:val="22"/>
          <w:highlight w:val="none"/>
          <w:shd w:val="clear" w:color="auto" w:fill="FFFFFF"/>
          <w:lang w:val="en-US" w:eastAsia="zh-CN"/>
        </w:rPr>
        <w:t>深圳市儿童医院通用类设备一批项目(重新招标)</w:t>
      </w:r>
      <w:r>
        <w:rPr>
          <w:rFonts w:hint="eastAsia" w:ascii="宋体" w:hAnsi="宋体" w:cs="宋体"/>
          <w:color w:val="auto"/>
          <w:sz w:val="22"/>
          <w:szCs w:val="22"/>
          <w:highlight w:val="none"/>
          <w:shd w:val="clear" w:color="auto" w:fill="FFFFFF"/>
        </w:rPr>
        <w:t>进行公开招标，欢迎符合资格条件的投标人前来投标。</w:t>
      </w:r>
      <w:r>
        <w:rPr>
          <w:rFonts w:hint="eastAsia" w:ascii="宋体" w:hAnsi="宋体" w:cs="宋体"/>
          <w:color w:val="auto"/>
          <w:sz w:val="22"/>
          <w:szCs w:val="22"/>
          <w:highlight w:val="none"/>
          <w:shd w:val="clear" w:color="auto" w:fill="FFFFFF"/>
          <w:lang w:val="en-US" w:eastAsia="zh-CN"/>
        </w:rPr>
        <w:t>深圳市儿童医院通用类设备一批项目(重新招标)</w:t>
      </w:r>
      <w:r>
        <w:rPr>
          <w:rFonts w:hint="eastAsia" w:ascii="宋体" w:hAnsi="宋体" w:cs="宋体"/>
          <w:color w:val="auto"/>
          <w:sz w:val="22"/>
          <w:szCs w:val="22"/>
          <w:highlight w:val="none"/>
          <w:shd w:val="clear" w:color="auto" w:fill="FFFFFF"/>
        </w:rPr>
        <w:t>的潜在投标人应在深圳市罗湖区太宁路2号百仕达大厦27B获取招标文件，并于202</w:t>
      </w:r>
      <w:r>
        <w:rPr>
          <w:rFonts w:hint="eastAsia" w:ascii="宋体" w:hAnsi="宋体" w:cs="宋体"/>
          <w:color w:val="auto"/>
          <w:sz w:val="22"/>
          <w:szCs w:val="22"/>
          <w:highlight w:val="none"/>
          <w:shd w:val="clear" w:color="auto" w:fill="FFFFFF"/>
          <w:lang w:val="en-US" w:eastAsia="zh-CN"/>
        </w:rPr>
        <w:t>5</w:t>
      </w:r>
      <w:r>
        <w:rPr>
          <w:rFonts w:hint="eastAsia" w:ascii="宋体" w:hAnsi="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11</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12</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color w:val="auto"/>
          <w:sz w:val="22"/>
          <w:szCs w:val="22"/>
          <w:highlight w:val="none"/>
          <w:shd w:val="clear" w:color="auto" w:fill="FFFFFF"/>
        </w:rPr>
        <w:t>点30分（北京时间）前递交投标文件。</w:t>
      </w:r>
    </w:p>
    <w:p w14:paraId="12ACB4BB">
      <w:pPr>
        <w:pStyle w:val="3"/>
        <w:widowControl/>
        <w:shd w:val="clear" w:color="auto" w:fill="FFFFFF"/>
        <w:spacing w:before="300" w:after="150" w:line="360" w:lineRule="atLeast"/>
        <w:rPr>
          <w:rStyle w:val="46"/>
          <w:rFonts w:hint="eastAsia" w:ascii="宋体" w:hAnsi="宋体" w:cs="宋体"/>
          <w:b w:val="0"/>
          <w:color w:val="auto"/>
          <w:sz w:val="22"/>
          <w:szCs w:val="22"/>
          <w:highlight w:val="none"/>
          <w:shd w:val="clear" w:color="auto" w:fill="FFFFFF"/>
        </w:rPr>
      </w:pPr>
      <w:r>
        <w:rPr>
          <w:rStyle w:val="46"/>
          <w:rFonts w:hint="eastAsia" w:ascii="宋体" w:hAnsi="宋体" w:cs="宋体"/>
          <w:b w:val="0"/>
          <w:color w:val="auto"/>
          <w:sz w:val="22"/>
          <w:szCs w:val="22"/>
          <w:highlight w:val="none"/>
          <w:shd w:val="clear" w:color="auto" w:fill="FFFFFF"/>
        </w:rPr>
        <w:t>一、项目基本情况</w:t>
      </w:r>
    </w:p>
    <w:p w14:paraId="18F3E7DA">
      <w:pPr>
        <w:pStyle w:val="39"/>
        <w:widowControl/>
        <w:shd w:val="clear" w:color="auto" w:fill="FFFFFF"/>
        <w:spacing w:line="360" w:lineRule="atLeast"/>
        <w:ind w:firstLine="435"/>
        <w:jc w:val="left"/>
        <w:rPr>
          <w:rFonts w:hint="eastAsia" w:ascii="微软雅黑" w:hAnsi="微软雅黑" w:eastAsia="宋体" w:cs="微软雅黑"/>
          <w:color w:val="auto"/>
          <w:sz w:val="21"/>
          <w:szCs w:val="21"/>
          <w:highlight w:val="none"/>
          <w:lang w:eastAsia="zh-CN"/>
        </w:rPr>
      </w:pPr>
      <w:r>
        <w:rPr>
          <w:rFonts w:hint="eastAsia" w:ascii="宋体" w:hAnsi="宋体" w:cs="宋体"/>
          <w:color w:val="auto"/>
          <w:sz w:val="22"/>
          <w:szCs w:val="22"/>
          <w:highlight w:val="none"/>
          <w:shd w:val="clear" w:color="auto" w:fill="FFFFFF"/>
        </w:rPr>
        <w:t>1.项目编号：</w:t>
      </w:r>
      <w:r>
        <w:rPr>
          <w:rFonts w:hint="eastAsia" w:ascii="宋体" w:hAnsi="宋体" w:cs="宋体"/>
          <w:color w:val="auto"/>
          <w:sz w:val="22"/>
          <w:szCs w:val="22"/>
          <w:highlight w:val="none"/>
          <w:shd w:val="clear" w:color="auto" w:fill="FFFFFF"/>
          <w:lang w:eastAsia="zh-CN"/>
        </w:rPr>
        <w:t>3324-DH2531H3234-D</w:t>
      </w:r>
    </w:p>
    <w:p w14:paraId="067BB0F9">
      <w:pPr>
        <w:pStyle w:val="39"/>
        <w:widowControl/>
        <w:shd w:val="clear" w:color="auto" w:fill="FFFFFF"/>
        <w:spacing w:line="360" w:lineRule="atLeast"/>
        <w:ind w:firstLine="435"/>
        <w:jc w:val="left"/>
        <w:rPr>
          <w:rFonts w:hint="default" w:ascii="微软雅黑" w:hAnsi="微软雅黑" w:eastAsia="宋体" w:cs="微软雅黑"/>
          <w:color w:val="auto"/>
          <w:sz w:val="21"/>
          <w:szCs w:val="21"/>
          <w:highlight w:val="none"/>
          <w:lang w:val="en-US" w:eastAsia="zh-CN"/>
        </w:rPr>
      </w:pPr>
      <w:r>
        <w:rPr>
          <w:rFonts w:hint="eastAsia" w:ascii="宋体" w:hAnsi="宋体" w:cs="宋体"/>
          <w:color w:val="auto"/>
          <w:sz w:val="22"/>
          <w:szCs w:val="22"/>
          <w:highlight w:val="none"/>
          <w:shd w:val="clear" w:color="auto" w:fill="FFFFFF"/>
        </w:rPr>
        <w:t>2.项目名称：</w:t>
      </w:r>
      <w:r>
        <w:rPr>
          <w:rFonts w:hint="eastAsia" w:ascii="宋体" w:hAnsi="宋体" w:cs="宋体"/>
          <w:color w:val="auto"/>
          <w:sz w:val="22"/>
          <w:szCs w:val="22"/>
          <w:highlight w:val="none"/>
          <w:shd w:val="clear" w:color="auto" w:fill="FFFFFF"/>
          <w:lang w:val="en-US" w:eastAsia="zh-CN"/>
        </w:rPr>
        <w:t>深圳市儿童医院通用类设备一批项目(重新招标)</w:t>
      </w:r>
    </w:p>
    <w:p w14:paraId="351D7B52">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3.预算金额：人民币</w:t>
      </w:r>
      <w:r>
        <w:rPr>
          <w:rFonts w:hint="eastAsia" w:ascii="宋体" w:hAnsi="宋体" w:cs="宋体"/>
          <w:color w:val="auto"/>
          <w:sz w:val="22"/>
          <w:szCs w:val="22"/>
          <w:highlight w:val="none"/>
          <w:shd w:val="clear" w:color="auto" w:fill="FFFFFF"/>
          <w:lang w:eastAsia="zh-CN"/>
        </w:rPr>
        <w:t>806,000.00</w:t>
      </w:r>
      <w:r>
        <w:rPr>
          <w:rFonts w:hint="eastAsia" w:ascii="宋体" w:hAnsi="宋体" w:cs="宋体"/>
          <w:color w:val="auto"/>
          <w:sz w:val="22"/>
          <w:szCs w:val="22"/>
          <w:highlight w:val="none"/>
          <w:shd w:val="clear" w:color="auto" w:fill="FFFFFF"/>
        </w:rPr>
        <w:t>元</w:t>
      </w:r>
    </w:p>
    <w:p w14:paraId="18333B54">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4.最高限价：人民币</w:t>
      </w:r>
      <w:r>
        <w:rPr>
          <w:rFonts w:hint="eastAsia" w:ascii="宋体" w:hAnsi="宋体" w:cs="宋体"/>
          <w:color w:val="auto"/>
          <w:sz w:val="22"/>
          <w:szCs w:val="22"/>
          <w:highlight w:val="none"/>
          <w:shd w:val="clear" w:color="auto" w:fill="FFFFFF"/>
          <w:lang w:eastAsia="zh-CN"/>
        </w:rPr>
        <w:t>806,000.00</w:t>
      </w:r>
      <w:r>
        <w:rPr>
          <w:rFonts w:hint="eastAsia" w:ascii="宋体" w:hAnsi="宋体" w:cs="宋体"/>
          <w:color w:val="auto"/>
          <w:sz w:val="22"/>
          <w:szCs w:val="22"/>
          <w:highlight w:val="none"/>
          <w:shd w:val="clear" w:color="auto" w:fill="FFFFFF"/>
        </w:rPr>
        <w:t>元</w:t>
      </w:r>
    </w:p>
    <w:p w14:paraId="3AA47846">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5.采购需求：详见招标文件。</w:t>
      </w:r>
    </w:p>
    <w:p w14:paraId="2345D842">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6.合同履行期限：详见招标文件。</w:t>
      </w:r>
    </w:p>
    <w:p w14:paraId="0D017689">
      <w:pPr>
        <w:pStyle w:val="39"/>
        <w:widowControl/>
        <w:shd w:val="clear" w:color="auto" w:fill="FFFFFF"/>
        <w:spacing w:line="360" w:lineRule="atLeast"/>
        <w:ind w:firstLine="435"/>
        <w:jc w:val="left"/>
        <w:rPr>
          <w:color w:val="auto"/>
          <w:highlight w:val="none"/>
        </w:rPr>
      </w:pPr>
      <w:r>
        <w:rPr>
          <w:rFonts w:hint="eastAsia" w:ascii="宋体" w:hAnsi="宋体" w:cs="宋体"/>
          <w:color w:val="auto"/>
          <w:sz w:val="22"/>
          <w:szCs w:val="22"/>
          <w:highlight w:val="none"/>
          <w:shd w:val="clear" w:color="auto" w:fill="FFFFFF"/>
        </w:rPr>
        <w:t>7.本项目不接受联合体投标。</w:t>
      </w:r>
    </w:p>
    <w:p w14:paraId="5C070E64">
      <w:pPr>
        <w:pStyle w:val="3"/>
        <w:widowControl/>
        <w:shd w:val="clear" w:color="auto" w:fill="FFFFFF"/>
        <w:spacing w:before="300" w:after="150" w:line="360" w:lineRule="atLeast"/>
        <w:rPr>
          <w:rStyle w:val="46"/>
          <w:rFonts w:hint="eastAsia" w:ascii="宋体" w:hAnsi="宋体" w:cs="宋体"/>
          <w:b w:val="0"/>
          <w:color w:val="auto"/>
          <w:sz w:val="22"/>
          <w:szCs w:val="22"/>
          <w:highlight w:val="none"/>
          <w:shd w:val="clear" w:color="auto" w:fill="FFFFFF"/>
        </w:rPr>
      </w:pPr>
      <w:r>
        <w:rPr>
          <w:rStyle w:val="46"/>
          <w:rFonts w:hint="eastAsia" w:ascii="宋体" w:hAnsi="宋体" w:cs="宋体"/>
          <w:b w:val="0"/>
          <w:color w:val="auto"/>
          <w:sz w:val="22"/>
          <w:szCs w:val="22"/>
          <w:highlight w:val="none"/>
          <w:shd w:val="clear" w:color="auto" w:fill="FFFFFF"/>
        </w:rPr>
        <w:t>二、申请人的资格要求</w:t>
      </w:r>
    </w:p>
    <w:p w14:paraId="09806C27">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7C131DD">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2.落实政府采购政策需满足的资格要求：无；</w:t>
      </w:r>
    </w:p>
    <w:p w14:paraId="456AE3AA">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3.本项目的特定资格要求：</w:t>
      </w:r>
    </w:p>
    <w:p w14:paraId="007D7594">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22EF739C">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24CE33E3">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73464204">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04DA89F">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1A6AE26C">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2473A5E">
      <w:pPr>
        <w:pStyle w:val="39"/>
        <w:widowControl/>
        <w:shd w:val="clear" w:color="auto" w:fill="FFFFFF"/>
        <w:spacing w:line="360" w:lineRule="atLeast"/>
        <w:ind w:firstLine="440" w:firstLineChars="200"/>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（7）本项目不接受联合体投标，不允许分包或转包；</w:t>
      </w:r>
    </w:p>
    <w:p w14:paraId="691DB55C">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（8）本项目</w:t>
      </w:r>
      <w:r>
        <w:rPr>
          <w:rFonts w:hint="eastAsia" w:ascii="宋体" w:hAnsi="宋体" w:cs="宋体"/>
          <w:color w:val="auto"/>
          <w:sz w:val="22"/>
          <w:szCs w:val="22"/>
          <w:highlight w:val="none"/>
          <w:shd w:val="clear" w:color="auto" w:fill="FFFFFF"/>
        </w:rPr>
        <w:t>不</w:t>
      </w:r>
      <w:r>
        <w:rPr>
          <w:rFonts w:hint="eastAsia" w:ascii="宋体" w:hAnsi="宋体" w:cs="宋体"/>
          <w:color w:val="auto"/>
          <w:sz w:val="22"/>
          <w:highlight w:val="none"/>
        </w:rPr>
        <w:t>接受进口产品投标（进口产品是指通过中国海关报关验放进入中国境内且产自关境外的产品，相关内容以“财库【2007】119号文”和“财办库【2008】248号文”的相关规定为准）。</w:t>
      </w:r>
    </w:p>
    <w:p w14:paraId="0B0EB287">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(9)投标人若为生产企业:所投产品为第二、三类医疗器械的，提供食品药品监督管理部门颁发的涵盖所投医疗器械的《医疗器械生产许可证》(有效期内)扫描件，原件备查。投标人若为经营企业，所投产品为第二类医疗器械的，提供食品药品监督管理部门颁发的涵盖所投医疗器械的《医疗器械经营备案凭证》(有效期内)扫措件，原件备查，所投产品为第三类医疗器械的，提供食品药品监督管理部门颁发的涵盖所投医疗器械的《医疗器械经营许可证》(有效期内)扫描件，原件备查。</w:t>
      </w:r>
    </w:p>
    <w:p w14:paraId="69745056">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(10)产品具备相关主管部门要求的认证资料:所投产品为第一类医疗器械的，提供食品药品监督管理部门签发的有效的《医疗器械备案凭证》或《医疗器械备案编号告知书》扫描件，原件备查;所投产品为第二、三类医疗器械的，提供食品药品监督管理部门签发的涵盖所投产品的《医疗器械注册证》(有效期内)扫描件，原件备查。</w:t>
      </w:r>
    </w:p>
    <w:p w14:paraId="32DAA945">
      <w:pPr>
        <w:pStyle w:val="39"/>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11）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7661AE9F">
      <w:pPr>
        <w:pStyle w:val="3"/>
        <w:widowControl/>
        <w:shd w:val="clear" w:color="auto" w:fill="FFFFFF"/>
        <w:spacing w:before="300" w:after="150" w:line="360" w:lineRule="atLeast"/>
        <w:rPr>
          <w:rStyle w:val="46"/>
          <w:rFonts w:hint="eastAsia" w:ascii="宋体" w:hAnsi="宋体" w:cs="宋体"/>
          <w:b w:val="0"/>
          <w:color w:val="auto"/>
          <w:sz w:val="22"/>
          <w:szCs w:val="22"/>
          <w:highlight w:val="none"/>
          <w:shd w:val="clear" w:color="auto" w:fill="FFFFFF"/>
        </w:rPr>
      </w:pPr>
      <w:r>
        <w:rPr>
          <w:rStyle w:val="46"/>
          <w:rFonts w:hint="eastAsia" w:ascii="宋体" w:hAnsi="宋体" w:cs="宋体"/>
          <w:b w:val="0"/>
          <w:color w:val="auto"/>
          <w:sz w:val="22"/>
          <w:szCs w:val="22"/>
          <w:highlight w:val="none"/>
          <w:shd w:val="clear" w:color="auto" w:fill="FFFFFF"/>
        </w:rPr>
        <w:t>三、获取招标文件</w:t>
      </w:r>
    </w:p>
    <w:p w14:paraId="25180510">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1.时间：202</w:t>
      </w:r>
      <w:r>
        <w:rPr>
          <w:rFonts w:hint="eastAsia" w:ascii="宋体" w:hAnsi="宋体" w:cs="宋体"/>
          <w:color w:val="auto"/>
          <w:sz w:val="22"/>
          <w:szCs w:val="22"/>
          <w:highlight w:val="none"/>
          <w:shd w:val="clear" w:color="auto" w:fill="FFFFFF"/>
          <w:lang w:val="en-US" w:eastAsia="zh-CN"/>
        </w:rPr>
        <w:t>5</w:t>
      </w:r>
      <w:r>
        <w:rPr>
          <w:rFonts w:hint="eastAsia" w:ascii="宋体" w:hAnsi="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10</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31</w:t>
      </w:r>
      <w:r>
        <w:rPr>
          <w:rFonts w:hint="eastAsia" w:ascii="宋体" w:hAnsi="宋体" w:cs="宋体"/>
          <w:color w:val="auto"/>
          <w:sz w:val="22"/>
          <w:szCs w:val="22"/>
          <w:highlight w:val="none"/>
          <w:shd w:val="clear" w:color="auto" w:fill="FFFFFF"/>
        </w:rPr>
        <w:t>日至202</w:t>
      </w:r>
      <w:r>
        <w:rPr>
          <w:rFonts w:hint="eastAsia" w:ascii="宋体" w:hAnsi="宋体" w:cs="宋体"/>
          <w:color w:val="auto"/>
          <w:sz w:val="22"/>
          <w:szCs w:val="22"/>
          <w:highlight w:val="none"/>
          <w:shd w:val="clear" w:color="auto" w:fill="FFFFFF"/>
          <w:lang w:val="en-US" w:eastAsia="zh-CN"/>
        </w:rPr>
        <w:t>5</w:t>
      </w:r>
      <w:r>
        <w:rPr>
          <w:rFonts w:hint="eastAsia" w:ascii="宋体" w:hAnsi="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11</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7</w:t>
      </w:r>
      <w:r>
        <w:rPr>
          <w:rFonts w:hint="eastAsia" w:ascii="宋体" w:hAnsi="宋体" w:cs="宋体"/>
          <w:color w:val="auto"/>
          <w:sz w:val="22"/>
          <w:szCs w:val="22"/>
          <w:highlight w:val="none"/>
          <w:shd w:val="clear" w:color="auto" w:fill="FFFFFF"/>
        </w:rPr>
        <w:t>日，每天上午09:00至12:00，下午14：30至17:30（北京时间，法定节假日除外）</w:t>
      </w:r>
    </w:p>
    <w:p w14:paraId="1C930D6F">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2.地点：深圳市罗湖区太宁路2号百仕达大厦27B</w:t>
      </w:r>
    </w:p>
    <w:p w14:paraId="5067F7FA">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3.方式：现场投标报名或网上投标报名（报名资料均需加盖单位公章）</w:t>
      </w:r>
    </w:p>
    <w:p w14:paraId="2A9E048F">
      <w:pPr>
        <w:pStyle w:val="39"/>
        <w:widowControl/>
        <w:shd w:val="clear" w:color="auto" w:fill="FFFFFF"/>
        <w:spacing w:line="360" w:lineRule="atLeast"/>
        <w:ind w:firstLine="440" w:firstLineChars="200"/>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0BD8FCB1">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5639BDEF">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（3）供应商可到采购代理机构网站（www.szdhit.com）下载中心免费下载</w:t>
      </w:r>
      <w:bookmarkStart w:id="20" w:name="OLE_LINK26"/>
      <w:bookmarkEnd w:id="20"/>
      <w:r>
        <w:rPr>
          <w:rFonts w:hint="eastAsia" w:ascii="宋体" w:hAnsi="宋体" w:cs="宋体"/>
          <w:color w:val="auto"/>
          <w:sz w:val="22"/>
          <w:szCs w:val="22"/>
          <w:highlight w:val="none"/>
          <w:shd w:val="clear" w:color="auto" w:fill="FFFFFF"/>
        </w:rPr>
        <w:t>《洽购文件登记表》及《法定代表人证明书及授权委托书》。</w:t>
      </w:r>
    </w:p>
    <w:p w14:paraId="534EAEB8">
      <w:pPr>
        <w:pStyle w:val="39"/>
        <w:widowControl/>
        <w:shd w:val="clear" w:color="auto" w:fill="FFFFFF"/>
        <w:spacing w:line="360" w:lineRule="atLeast"/>
        <w:ind w:firstLine="442" w:firstLineChars="200"/>
        <w:jc w:val="left"/>
        <w:rPr>
          <w:rFonts w:hint="eastAsia" w:ascii="微软雅黑" w:hAnsi="微软雅黑" w:eastAsia="微软雅黑" w:cs="微软雅黑"/>
          <w:b/>
          <w:bCs/>
          <w:color w:val="auto"/>
          <w:sz w:val="21"/>
          <w:szCs w:val="21"/>
          <w:highlight w:val="none"/>
        </w:rPr>
      </w:pPr>
      <w:r>
        <w:rPr>
          <w:rFonts w:hint="eastAsia" w:ascii="宋体" w:hAnsi="宋体" w:cs="宋体"/>
          <w:b/>
          <w:bCs/>
          <w:color w:val="auto"/>
          <w:sz w:val="22"/>
          <w:szCs w:val="22"/>
          <w:highlight w:val="none"/>
          <w:shd w:val="clear" w:color="auto" w:fill="FFFFFF"/>
        </w:rPr>
        <w:t>（4）标书发售联系人及联系方式：葛小姐，0755-86959378转8001</w:t>
      </w:r>
    </w:p>
    <w:p w14:paraId="78CA29EC">
      <w:pPr>
        <w:pStyle w:val="39"/>
        <w:widowControl/>
        <w:shd w:val="clear" w:color="auto" w:fill="FFFFFF"/>
        <w:spacing w:line="360" w:lineRule="atLeast"/>
        <w:ind w:firstLine="440" w:firstLineChars="2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4.售价：500.00元（售后不退）</w:t>
      </w:r>
    </w:p>
    <w:p w14:paraId="75638935">
      <w:pPr>
        <w:pStyle w:val="39"/>
        <w:widowControl/>
        <w:shd w:val="clear" w:color="auto" w:fill="FFFFFF"/>
        <w:spacing w:line="360" w:lineRule="atLeast"/>
        <w:ind w:firstLine="660" w:firstLineChars="3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开户行名称及账号</w:t>
      </w:r>
    </w:p>
    <w:p w14:paraId="5AD01BB5">
      <w:pPr>
        <w:pStyle w:val="39"/>
        <w:widowControl/>
        <w:shd w:val="clear" w:color="auto" w:fill="FFFFFF"/>
        <w:spacing w:line="360" w:lineRule="atLeast"/>
        <w:ind w:firstLine="660" w:firstLineChars="3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开户行：中国农业银行股份有限公司深圳东湖支行</w:t>
      </w:r>
    </w:p>
    <w:p w14:paraId="063B1FD1">
      <w:pPr>
        <w:pStyle w:val="39"/>
        <w:widowControl/>
        <w:shd w:val="clear" w:color="auto" w:fill="FFFFFF"/>
        <w:spacing w:line="360" w:lineRule="atLeast"/>
        <w:ind w:firstLine="660" w:firstLineChars="3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账户名称：深圳市东海国际招标有限公司</w:t>
      </w:r>
    </w:p>
    <w:p w14:paraId="4CEB2A34">
      <w:pPr>
        <w:pStyle w:val="39"/>
        <w:widowControl/>
        <w:shd w:val="clear" w:color="auto" w:fill="FFFFFF"/>
        <w:spacing w:line="360" w:lineRule="atLeast"/>
        <w:ind w:firstLine="660" w:firstLineChars="300"/>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账号：4100 1800 0400 2656 1</w:t>
      </w:r>
    </w:p>
    <w:p w14:paraId="4D8F8DD3">
      <w:pPr>
        <w:pStyle w:val="39"/>
        <w:widowControl/>
        <w:shd w:val="clear" w:color="auto" w:fill="FFFFFF"/>
        <w:spacing w:line="360" w:lineRule="atLeast"/>
        <w:ind w:firstLine="660" w:firstLineChars="300"/>
        <w:jc w:val="left"/>
        <w:rPr>
          <w:color w:val="auto"/>
          <w:highlight w:val="none"/>
        </w:rPr>
      </w:pPr>
      <w:r>
        <w:rPr>
          <w:rFonts w:hint="eastAsia" w:ascii="宋体" w:hAnsi="宋体" w:cs="宋体"/>
          <w:color w:val="auto"/>
          <w:sz w:val="22"/>
          <w:szCs w:val="22"/>
          <w:highlight w:val="none"/>
          <w:shd w:val="clear" w:color="auto" w:fill="FFFFFF"/>
        </w:rPr>
        <w:t>付款时请备注公司名称+付款原因（购买采购文件或中标服务费付款）</w:t>
      </w:r>
    </w:p>
    <w:p w14:paraId="526637A4">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46"/>
          <w:rFonts w:hint="eastAsia" w:ascii="宋体" w:hAnsi="宋体" w:cs="宋体"/>
          <w:b w:val="0"/>
          <w:color w:val="auto"/>
          <w:sz w:val="22"/>
          <w:szCs w:val="22"/>
          <w:highlight w:val="none"/>
          <w:shd w:val="clear" w:color="auto" w:fill="FFFFFF"/>
        </w:rPr>
        <w:t>四、提交投标文件截止时间、开标时间和地点</w:t>
      </w:r>
    </w:p>
    <w:p w14:paraId="7DBB8589">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1.时间：202</w:t>
      </w:r>
      <w:r>
        <w:rPr>
          <w:rFonts w:hint="eastAsia" w:ascii="宋体" w:hAnsi="宋体" w:cs="宋体"/>
          <w:color w:val="auto"/>
          <w:sz w:val="22"/>
          <w:szCs w:val="22"/>
          <w:highlight w:val="none"/>
          <w:shd w:val="clear" w:color="auto" w:fill="FFFFFF"/>
          <w:lang w:val="en-US" w:eastAsia="zh-CN"/>
        </w:rPr>
        <w:t>5</w:t>
      </w:r>
      <w:r>
        <w:rPr>
          <w:rFonts w:hint="eastAsia" w:ascii="宋体" w:hAnsi="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11</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12</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color w:val="auto"/>
          <w:sz w:val="22"/>
          <w:szCs w:val="22"/>
          <w:highlight w:val="none"/>
          <w:shd w:val="clear" w:color="auto" w:fill="FFFFFF"/>
        </w:rPr>
        <w:t>点30分（北京时间）</w:t>
      </w:r>
    </w:p>
    <w:p w14:paraId="2544CE78">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2.地点：深圳市罗湖区太宁路2号百仕达大厦27B深圳市东海国际招标有限公司</w:t>
      </w:r>
      <w:r>
        <w:rPr>
          <w:rFonts w:hint="eastAsia"/>
          <w:color w:val="auto"/>
          <w:sz w:val="22"/>
          <w:szCs w:val="22"/>
          <w:highlight w:val="none"/>
          <w:shd w:val="clear" w:color="auto" w:fill="FFFFFF"/>
          <w:lang w:val="en-US" w:eastAsia="zh-CN"/>
        </w:rPr>
        <w:t>1</w:t>
      </w:r>
      <w:r>
        <w:rPr>
          <w:rFonts w:hint="eastAsia" w:ascii="宋体" w:hAnsi="宋体" w:cs="宋体"/>
          <w:color w:val="auto"/>
          <w:sz w:val="22"/>
          <w:szCs w:val="22"/>
          <w:highlight w:val="none"/>
          <w:shd w:val="clear" w:color="auto" w:fill="FFFFFF"/>
        </w:rPr>
        <w:t>号开标室</w:t>
      </w:r>
    </w:p>
    <w:p w14:paraId="0DA9CCDA">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46"/>
          <w:rFonts w:hint="eastAsia" w:ascii="宋体" w:hAnsi="宋体" w:cs="宋体"/>
          <w:b w:val="0"/>
          <w:color w:val="auto"/>
          <w:sz w:val="22"/>
          <w:szCs w:val="22"/>
          <w:highlight w:val="none"/>
          <w:shd w:val="clear" w:color="auto" w:fill="FFFFFF"/>
        </w:rPr>
        <w:t>五、公告期限</w:t>
      </w:r>
    </w:p>
    <w:p w14:paraId="7CF031ED">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自本公告发布之日起5个工作日。</w:t>
      </w:r>
    </w:p>
    <w:p w14:paraId="1708D5CA">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46"/>
          <w:rFonts w:hint="eastAsia" w:ascii="宋体" w:hAnsi="宋体" w:cs="宋体"/>
          <w:b w:val="0"/>
          <w:color w:val="auto"/>
          <w:sz w:val="22"/>
          <w:szCs w:val="22"/>
          <w:highlight w:val="none"/>
          <w:shd w:val="clear" w:color="auto" w:fill="FFFFFF"/>
        </w:rPr>
        <w:t>六、其他补充事宜</w:t>
      </w:r>
    </w:p>
    <w:p w14:paraId="1CDD5092">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1.公示网站</w:t>
      </w:r>
    </w:p>
    <w:p w14:paraId="443478BA">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深圳公共资源交易网：www.szggzy.com </w:t>
      </w:r>
    </w:p>
    <w:p w14:paraId="4E92ED84">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深圳市东海国际招标有限公司官网：www.szdhit.com</w:t>
      </w:r>
    </w:p>
    <w:p w14:paraId="60634701">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2.其他事项：</w:t>
      </w:r>
    </w:p>
    <w:p w14:paraId="78F7AE79">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0EF222C">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邮寄地址：深圳市罗湖区太宁路2号百仕达大厦27B深圳市东海国际招标有限公司，收件人：葛小姐，联系电话：0755-86959378转8001。</w:t>
      </w:r>
    </w:p>
    <w:p w14:paraId="4390C932">
      <w:pPr>
        <w:pStyle w:val="3"/>
        <w:widowControl/>
        <w:shd w:val="clear" w:color="auto" w:fill="FFFFFF"/>
        <w:spacing w:before="300" w:after="150" w:line="360" w:lineRule="atLeast"/>
        <w:jc w:val="left"/>
        <w:rPr>
          <w:rFonts w:hint="eastAsia" w:ascii="微软雅黑" w:hAnsi="微软雅黑" w:eastAsia="微软雅黑" w:cs="微软雅黑"/>
          <w:color w:val="auto"/>
          <w:sz w:val="45"/>
          <w:szCs w:val="45"/>
          <w:highlight w:val="none"/>
        </w:rPr>
      </w:pPr>
      <w:r>
        <w:rPr>
          <w:rStyle w:val="46"/>
          <w:rFonts w:hint="eastAsia" w:ascii="宋体" w:hAnsi="宋体" w:cs="宋体"/>
          <w:b w:val="0"/>
          <w:color w:val="auto"/>
          <w:sz w:val="22"/>
          <w:szCs w:val="22"/>
          <w:highlight w:val="none"/>
          <w:shd w:val="clear" w:color="auto" w:fill="FFFFFF"/>
        </w:rPr>
        <w:t>七、对本次招标提出询问，请按以下方式联系。</w:t>
      </w:r>
    </w:p>
    <w:p w14:paraId="2C9D528C">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1.采购人信息</w:t>
      </w:r>
    </w:p>
    <w:p w14:paraId="02B28AC3">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名　称：深圳市儿童医院</w:t>
      </w:r>
    </w:p>
    <w:p w14:paraId="7D9DF8C9">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地　址：深圳市福田区益田路7019号</w:t>
      </w:r>
    </w:p>
    <w:p w14:paraId="7A21B17C">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联系方式：闫工 0755-83008390</w:t>
      </w:r>
    </w:p>
    <w:p w14:paraId="3DD4A7A2">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2.采购代理机构信息</w:t>
      </w:r>
    </w:p>
    <w:p w14:paraId="401C95D6">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名　称：深圳市东海国际招标有限公司</w:t>
      </w:r>
    </w:p>
    <w:p w14:paraId="16F67D3E">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地　址：深圳市罗湖区太宁路2号百仕达大厦27B</w:t>
      </w:r>
    </w:p>
    <w:p w14:paraId="228AE02D">
      <w:pPr>
        <w:pStyle w:val="39"/>
        <w:widowControl/>
        <w:shd w:val="clear" w:color="auto" w:fill="FFFFFF"/>
        <w:spacing w:line="360" w:lineRule="atLeast"/>
        <w:ind w:firstLine="435"/>
        <w:jc w:val="left"/>
        <w:rPr>
          <w:rFonts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联系电话：0755-86959378</w:t>
      </w:r>
    </w:p>
    <w:p w14:paraId="78CA3799">
      <w:pPr>
        <w:pStyle w:val="39"/>
        <w:widowControl/>
        <w:shd w:val="clear" w:color="auto" w:fill="FFFFFF"/>
        <w:spacing w:line="360" w:lineRule="atLeast"/>
        <w:ind w:firstLine="435"/>
        <w:jc w:val="left"/>
        <w:rPr>
          <w:rFonts w:hint="eastAsia" w:ascii="微软雅黑" w:hAnsi="微软雅黑" w:eastAsia="微软雅黑" w:cs="微软雅黑"/>
          <w:color w:val="auto"/>
          <w:sz w:val="21"/>
          <w:szCs w:val="21"/>
          <w:highlight w:val="none"/>
        </w:rPr>
      </w:pPr>
      <w:r>
        <w:rPr>
          <w:rFonts w:hint="eastAsia" w:ascii="宋体" w:hAnsi="宋体" w:cs="宋体"/>
          <w:color w:val="auto"/>
          <w:sz w:val="22"/>
          <w:szCs w:val="22"/>
          <w:highlight w:val="none"/>
          <w:shd w:val="clear" w:color="auto" w:fill="FFFFFF"/>
        </w:rPr>
        <w:t>3.项目联系方式</w:t>
      </w:r>
    </w:p>
    <w:p w14:paraId="2C7995FD">
      <w:pPr>
        <w:pStyle w:val="39"/>
        <w:widowControl/>
        <w:shd w:val="clear" w:color="auto" w:fill="FFFFFF"/>
        <w:spacing w:line="360" w:lineRule="atLeast"/>
        <w:ind w:firstLine="435"/>
        <w:jc w:val="left"/>
        <w:rPr>
          <w:rFonts w:ascii="微软雅黑" w:hAnsi="微软雅黑" w:cs="微软雅黑"/>
          <w:color w:val="auto"/>
          <w:sz w:val="21"/>
          <w:szCs w:val="21"/>
          <w:highlight w:val="none"/>
        </w:rPr>
      </w:pPr>
      <w:r>
        <w:rPr>
          <w:rFonts w:hint="eastAsia" w:ascii="宋体" w:hAnsi="宋体" w:cs="宋体"/>
          <w:color w:val="auto"/>
          <w:sz w:val="22"/>
          <w:szCs w:val="22"/>
          <w:highlight w:val="none"/>
          <w:shd w:val="clear" w:color="auto" w:fill="FFFFFF"/>
        </w:rPr>
        <w:t>项目联系人：白先生、曾小姐</w:t>
      </w:r>
    </w:p>
    <w:p w14:paraId="40063820">
      <w:pPr>
        <w:pStyle w:val="39"/>
        <w:widowControl/>
        <w:shd w:val="clear" w:color="auto" w:fill="FFFFFF"/>
        <w:spacing w:line="360" w:lineRule="atLeast"/>
        <w:ind w:firstLine="435"/>
        <w:jc w:val="left"/>
        <w:rPr>
          <w:rFonts w:ascii="微软雅黑" w:hAnsi="微软雅黑" w:cs="微软雅黑"/>
          <w:color w:val="auto"/>
          <w:sz w:val="21"/>
          <w:szCs w:val="21"/>
          <w:highlight w:val="none"/>
        </w:rPr>
      </w:pPr>
      <w:r>
        <w:rPr>
          <w:rFonts w:hint="eastAsia" w:ascii="宋体" w:hAnsi="宋体" w:cs="宋体"/>
          <w:color w:val="auto"/>
          <w:sz w:val="22"/>
          <w:szCs w:val="22"/>
          <w:highlight w:val="none"/>
          <w:shd w:val="clear" w:color="auto" w:fill="FFFFFF"/>
        </w:rPr>
        <w:t>电　话：0755-86959378或86959778转8014/8005</w:t>
      </w:r>
    </w:p>
    <w:p w14:paraId="63001A10">
      <w:pPr>
        <w:pStyle w:val="39"/>
        <w:widowControl/>
        <w:shd w:val="clear" w:color="auto" w:fill="FFFFFF"/>
        <w:spacing w:line="360" w:lineRule="atLeast"/>
        <w:ind w:firstLine="435"/>
        <w:jc w:val="left"/>
        <w:rPr>
          <w:rFonts w:hint="eastAsia"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4.监督电话：刘先生13823779877</w:t>
      </w:r>
    </w:p>
    <w:p w14:paraId="69B2C4D8">
      <w:pPr>
        <w:ind w:left="-3780" w:leftChars="-1800"/>
        <w:jc w:val="right"/>
        <w:rPr>
          <w:rFonts w:hint="eastAsia" w:ascii="宋体" w:hAnsi="宋体" w:cs="宋体"/>
          <w:color w:val="auto"/>
          <w:kern w:val="0"/>
          <w:sz w:val="22"/>
          <w:highlight w:val="none"/>
          <w:shd w:val="clear" w:color="auto" w:fill="FFFFFF"/>
          <w:lang w:bidi="ar"/>
        </w:rPr>
      </w:pPr>
    </w:p>
    <w:p w14:paraId="492A007E">
      <w:pPr>
        <w:ind w:left="-3780" w:leftChars="-1800"/>
        <w:jc w:val="right"/>
        <w:rPr>
          <w:rFonts w:hint="eastAsia" w:ascii="宋体" w:hAnsi="宋体" w:cs="宋体"/>
          <w:color w:val="auto"/>
          <w:kern w:val="0"/>
          <w:sz w:val="22"/>
          <w:highlight w:val="none"/>
          <w:shd w:val="clear" w:color="auto" w:fill="FFFFFF"/>
          <w:lang w:bidi="ar"/>
        </w:rPr>
      </w:pPr>
    </w:p>
    <w:p w14:paraId="2D4E7F81">
      <w:pPr>
        <w:ind w:left="-3780" w:leftChars="-1800"/>
        <w:jc w:val="right"/>
        <w:rPr>
          <w:rFonts w:hint="eastAsia" w:ascii="宋体" w:hAnsi="宋体" w:cs="宋体"/>
          <w:color w:val="auto"/>
          <w:kern w:val="0"/>
          <w:sz w:val="22"/>
          <w:highlight w:val="none"/>
          <w:shd w:val="clear" w:color="auto" w:fill="FFFFFF"/>
          <w:lang w:bidi="ar"/>
        </w:rPr>
      </w:pPr>
      <w:r>
        <w:rPr>
          <w:rFonts w:hint="eastAsia" w:ascii="宋体" w:hAnsi="宋体" w:cs="宋体"/>
          <w:color w:val="auto"/>
          <w:kern w:val="0"/>
          <w:sz w:val="22"/>
          <w:highlight w:val="none"/>
          <w:shd w:val="clear" w:color="auto" w:fill="FFFFFF"/>
          <w:lang w:bidi="ar"/>
        </w:rPr>
        <w:t>深圳市东海国际招标有限公司</w:t>
      </w:r>
    </w:p>
    <w:p w14:paraId="40CE49B3">
      <w:pPr>
        <w:ind w:left="-3780" w:leftChars="-1800"/>
        <w:jc w:val="center"/>
        <w:rPr>
          <w:rFonts w:ascii="宋体" w:hAnsi="宋体" w:cs="宋体"/>
          <w:color w:val="auto"/>
          <w:kern w:val="0"/>
          <w:sz w:val="22"/>
          <w:highlight w:val="none"/>
          <w:shd w:val="clear" w:color="auto" w:fill="FFFFFF"/>
          <w:lang w:bidi="ar"/>
        </w:rPr>
      </w:pPr>
      <w:r>
        <w:rPr>
          <w:rFonts w:hint="eastAsia" w:ascii="宋体" w:hAnsi="宋体" w:cs="宋体"/>
          <w:color w:val="auto"/>
          <w:kern w:val="0"/>
          <w:sz w:val="22"/>
          <w:highlight w:val="none"/>
          <w:shd w:val="clear" w:color="auto" w:fill="FFFFFF"/>
          <w:lang w:bidi="ar"/>
        </w:rPr>
        <w:t xml:space="preserve">                                                                                    202</w:t>
      </w:r>
      <w:r>
        <w:rPr>
          <w:rFonts w:hint="eastAsia" w:ascii="宋体" w:hAnsi="宋体" w:cs="宋体"/>
          <w:color w:val="auto"/>
          <w:kern w:val="0"/>
          <w:sz w:val="22"/>
          <w:highlight w:val="none"/>
          <w:shd w:val="clear" w:color="auto" w:fill="FFFFFF"/>
          <w:lang w:val="en-US" w:eastAsia="zh-CN" w:bidi="ar"/>
        </w:rPr>
        <w:t>5</w:t>
      </w:r>
      <w:r>
        <w:rPr>
          <w:rFonts w:hint="eastAsia" w:ascii="宋体" w:hAnsi="宋体" w:cs="宋体"/>
          <w:color w:val="auto"/>
          <w:kern w:val="0"/>
          <w:sz w:val="22"/>
          <w:highlight w:val="none"/>
          <w:shd w:val="clear" w:color="auto" w:fill="FFFFFF"/>
          <w:lang w:bidi="ar"/>
        </w:rPr>
        <w:t>年</w:t>
      </w:r>
      <w:r>
        <w:rPr>
          <w:rFonts w:hint="eastAsia" w:ascii="宋体" w:hAnsi="宋体" w:cs="宋体"/>
          <w:color w:val="auto"/>
          <w:kern w:val="0"/>
          <w:sz w:val="22"/>
          <w:highlight w:val="none"/>
          <w:shd w:val="clear" w:color="auto" w:fill="FFFFFF"/>
          <w:lang w:val="en-US" w:eastAsia="zh-CN" w:bidi="ar"/>
        </w:rPr>
        <w:t>10</w:t>
      </w:r>
      <w:r>
        <w:rPr>
          <w:rFonts w:hint="eastAsia" w:ascii="宋体" w:hAnsi="宋体" w:cs="宋体"/>
          <w:color w:val="auto"/>
          <w:kern w:val="0"/>
          <w:sz w:val="22"/>
          <w:highlight w:val="none"/>
          <w:shd w:val="clear" w:color="auto" w:fill="FFFFFF"/>
          <w:lang w:bidi="ar"/>
        </w:rPr>
        <w:t>月</w:t>
      </w:r>
      <w:r>
        <w:rPr>
          <w:rFonts w:hint="eastAsia" w:ascii="宋体" w:hAnsi="宋体" w:cs="宋体"/>
          <w:color w:val="auto"/>
          <w:kern w:val="0"/>
          <w:sz w:val="22"/>
          <w:highlight w:val="none"/>
          <w:shd w:val="clear" w:color="auto" w:fill="FFFFFF"/>
          <w:lang w:val="en-US" w:eastAsia="zh-CN" w:bidi="ar"/>
        </w:rPr>
        <w:t>31</w:t>
      </w:r>
      <w:r>
        <w:rPr>
          <w:rFonts w:hint="eastAsia" w:ascii="宋体" w:hAnsi="宋体" w:cs="宋体"/>
          <w:color w:val="auto"/>
          <w:kern w:val="0"/>
          <w:sz w:val="22"/>
          <w:highlight w:val="none"/>
          <w:shd w:val="clear" w:color="auto" w:fill="FFFFFF"/>
          <w:lang w:bidi="ar"/>
        </w:rPr>
        <w:t>日</w:t>
      </w:r>
    </w:p>
    <w:p w14:paraId="44A489EF">
      <w:pPr>
        <w:spacing w:line="360" w:lineRule="exact"/>
        <w:jc w:val="right"/>
        <w:rPr>
          <w:color w:val="auto"/>
          <w:highlight w:val="none"/>
        </w:rPr>
      </w:pPr>
      <w:r>
        <w:rPr>
          <w:rFonts w:hint="eastAsia" w:ascii="宋体" w:hAnsi="宋体" w:cs="宋体"/>
          <w:color w:val="auto"/>
          <w:sz w:val="22"/>
          <w:highlight w:val="none"/>
        </w:rPr>
        <w:t xml:space="preserve">  </w:t>
      </w:r>
    </w:p>
    <w:p w14:paraId="2AADA34E">
      <w:pPr>
        <w:pStyle w:val="3"/>
        <w:numPr>
          <w:ilvl w:val="0"/>
          <w:numId w:val="4"/>
        </w:numPr>
        <w:rPr>
          <w:b w:val="0"/>
          <w:color w:val="auto"/>
          <w:sz w:val="30"/>
          <w:szCs w:val="30"/>
          <w:highlight w:val="none"/>
        </w:rPr>
      </w:pPr>
      <w:bookmarkStart w:id="21" w:name="_Toc101074876"/>
      <w:bookmarkStart w:id="22" w:name="_Toc73517639"/>
      <w:bookmarkStart w:id="23" w:name="_Toc60560625"/>
      <w:bookmarkStart w:id="24" w:name="_Toc60631620"/>
      <w:bookmarkStart w:id="25" w:name="_Toc73518117"/>
      <w:bookmarkStart w:id="26" w:name="_Toc73521547"/>
      <w:bookmarkStart w:id="27" w:name="_Toc73521635"/>
      <w:bookmarkStart w:id="28" w:name="_Toc100052364"/>
      <w:r>
        <w:rPr>
          <w:rFonts w:hint="eastAsia"/>
          <w:color w:val="auto"/>
          <w:sz w:val="36"/>
          <w:szCs w:val="22"/>
          <w:highlight w:val="none"/>
        </w:rPr>
        <w:br w:type="page"/>
      </w:r>
      <w:r>
        <w:rPr>
          <w:rFonts w:hint="eastAsia"/>
          <w:color w:val="auto"/>
          <w:sz w:val="36"/>
          <w:szCs w:val="22"/>
          <w:highlight w:val="none"/>
        </w:rPr>
        <w:t>招标项目需求</w:t>
      </w:r>
      <w:r>
        <w:rPr>
          <w:b w:val="0"/>
          <w:color w:val="auto"/>
          <w:sz w:val="30"/>
          <w:szCs w:val="30"/>
          <w:highlight w:val="none"/>
        </w:rPr>
        <w:t xml:space="preserve"> </w:t>
      </w:r>
      <w:bookmarkEnd w:id="21"/>
      <w:bookmarkEnd w:id="22"/>
      <w:bookmarkEnd w:id="23"/>
      <w:bookmarkEnd w:id="24"/>
      <w:bookmarkEnd w:id="25"/>
      <w:bookmarkEnd w:id="26"/>
      <w:bookmarkEnd w:id="27"/>
      <w:bookmarkEnd w:id="28"/>
    </w:p>
    <w:p w14:paraId="1197A8BD">
      <w:pPr>
        <w:rPr>
          <w:rFonts w:hint="eastAsia"/>
          <w:b/>
          <w:bCs/>
          <w:color w:val="auto"/>
          <w:highlight w:val="none"/>
        </w:rPr>
      </w:pPr>
      <w:r>
        <w:rPr>
          <w:rFonts w:hint="eastAsia"/>
          <w:b/>
          <w:bCs/>
          <w:color w:val="auto"/>
          <w:highlight w:val="none"/>
        </w:rPr>
        <w:t>备注：技术要求中设有“▲”号的部分为重要技术参数，负偏离将导致严重扣分，但不导致废标。打“★”标明的条款为实质性条款，任何一条负偏离则导致投标无效。</w:t>
      </w:r>
    </w:p>
    <w:p w14:paraId="239EDA25">
      <w:pPr>
        <w:rPr>
          <w:color w:val="auto"/>
          <w:highlight w:val="none"/>
        </w:rPr>
      </w:pPr>
    </w:p>
    <w:p w14:paraId="38663073">
      <w:pPr>
        <w:keepNext/>
        <w:keepLines/>
        <w:numPr>
          <w:ilvl w:val="0"/>
          <w:numId w:val="5"/>
        </w:numPr>
        <w:adjustRightInd w:val="0"/>
        <w:spacing w:before="156" w:beforeLines="50" w:after="156" w:afterLines="50"/>
        <w:jc w:val="center"/>
        <w:textAlignment w:val="baseline"/>
        <w:outlineLvl w:val="1"/>
        <w:rPr>
          <w:rFonts w:hint="eastAsia" w:ascii="宋体" w:hAnsi="宋体" w:cs="宋体"/>
          <w:b/>
          <w:color w:val="auto"/>
          <w:kern w:val="0"/>
          <w:sz w:val="22"/>
          <w:szCs w:val="20"/>
          <w:highlight w:val="none"/>
        </w:rPr>
      </w:pPr>
      <w:r>
        <w:rPr>
          <w:rFonts w:hint="eastAsia" w:ascii="宋体" w:hAnsi="宋体" w:cs="宋体"/>
          <w:b/>
          <w:color w:val="auto"/>
          <w:kern w:val="0"/>
          <w:sz w:val="28"/>
          <w:szCs w:val="28"/>
          <w:highlight w:val="none"/>
        </w:rPr>
        <w:t>货物清单</w:t>
      </w:r>
    </w:p>
    <w:p w14:paraId="5E9F1BEC">
      <w:pPr>
        <w:rPr>
          <w:rFonts w:hint="default" w:ascii="宋体" w:hAnsi="宋体" w:cs="宋体"/>
          <w:b/>
          <w:color w:val="auto"/>
          <w:sz w:val="22"/>
          <w:highlight w:val="none"/>
          <w:lang w:val="en-US" w:eastAsia="zh-CN"/>
        </w:rPr>
      </w:pPr>
      <w:r>
        <w:rPr>
          <w:rFonts w:hint="eastAsia" w:ascii="宋体" w:hAnsi="宋体" w:cs="宋体"/>
          <w:b/>
          <w:color w:val="auto"/>
          <w:sz w:val="22"/>
          <w:highlight w:val="none"/>
          <w:lang w:val="en-US" w:eastAsia="zh-CN"/>
        </w:rPr>
        <w:t>（一）货物内容</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2321"/>
        <w:gridCol w:w="855"/>
        <w:gridCol w:w="975"/>
        <w:gridCol w:w="1500"/>
        <w:gridCol w:w="2074"/>
      </w:tblGrid>
      <w:tr w14:paraId="1720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8" w:type="dxa"/>
            <w:shd w:val="clear" w:color="auto" w:fill="B8CCE4"/>
            <w:vAlign w:val="center"/>
          </w:tcPr>
          <w:p w14:paraId="34FDB3D4">
            <w:pPr>
              <w:spacing w:line="360" w:lineRule="auto"/>
              <w:jc w:val="center"/>
              <w:rPr>
                <w:b/>
                <w:bCs/>
                <w:color w:val="auto"/>
                <w:kern w:val="0"/>
                <w:sz w:val="22"/>
                <w:highlight w:val="none"/>
              </w:rPr>
            </w:pPr>
            <w:r>
              <w:rPr>
                <w:b/>
                <w:bCs/>
                <w:color w:val="auto"/>
                <w:kern w:val="0"/>
                <w:sz w:val="22"/>
                <w:highlight w:val="none"/>
              </w:rPr>
              <w:t>序号</w:t>
            </w:r>
          </w:p>
        </w:tc>
        <w:tc>
          <w:tcPr>
            <w:tcW w:w="2321" w:type="dxa"/>
            <w:shd w:val="clear" w:color="auto" w:fill="B8CCE4"/>
            <w:vAlign w:val="center"/>
          </w:tcPr>
          <w:p w14:paraId="54FAAA55">
            <w:pPr>
              <w:spacing w:line="360" w:lineRule="auto"/>
              <w:jc w:val="center"/>
              <w:rPr>
                <w:b/>
                <w:bCs/>
                <w:color w:val="auto"/>
                <w:kern w:val="0"/>
                <w:sz w:val="22"/>
                <w:highlight w:val="none"/>
              </w:rPr>
            </w:pPr>
            <w:r>
              <w:rPr>
                <w:b/>
                <w:bCs/>
                <w:color w:val="auto"/>
                <w:kern w:val="0"/>
                <w:sz w:val="22"/>
                <w:highlight w:val="none"/>
              </w:rPr>
              <w:t>采购内容</w:t>
            </w:r>
          </w:p>
        </w:tc>
        <w:tc>
          <w:tcPr>
            <w:tcW w:w="855" w:type="dxa"/>
            <w:shd w:val="clear" w:color="auto" w:fill="B8CCE4"/>
            <w:vAlign w:val="center"/>
          </w:tcPr>
          <w:p w14:paraId="12EEC1E4">
            <w:pPr>
              <w:spacing w:line="360" w:lineRule="auto"/>
              <w:jc w:val="center"/>
              <w:rPr>
                <w:b/>
                <w:bCs/>
                <w:color w:val="auto"/>
                <w:kern w:val="0"/>
                <w:sz w:val="22"/>
                <w:highlight w:val="none"/>
              </w:rPr>
            </w:pPr>
            <w:r>
              <w:rPr>
                <w:b/>
                <w:bCs/>
                <w:color w:val="auto"/>
                <w:kern w:val="0"/>
                <w:sz w:val="22"/>
                <w:highlight w:val="none"/>
              </w:rPr>
              <w:t>数量</w:t>
            </w:r>
          </w:p>
        </w:tc>
        <w:tc>
          <w:tcPr>
            <w:tcW w:w="975" w:type="dxa"/>
            <w:shd w:val="clear" w:color="auto" w:fill="B8CCE4"/>
            <w:vAlign w:val="center"/>
          </w:tcPr>
          <w:p w14:paraId="01F43518">
            <w:pPr>
              <w:spacing w:line="360" w:lineRule="auto"/>
              <w:jc w:val="center"/>
              <w:rPr>
                <w:b/>
                <w:bCs/>
                <w:color w:val="auto"/>
                <w:kern w:val="0"/>
                <w:sz w:val="22"/>
                <w:highlight w:val="none"/>
              </w:rPr>
            </w:pPr>
            <w:r>
              <w:rPr>
                <w:b/>
                <w:bCs/>
                <w:color w:val="auto"/>
                <w:kern w:val="0"/>
                <w:sz w:val="22"/>
                <w:highlight w:val="none"/>
              </w:rPr>
              <w:t>单位</w:t>
            </w:r>
          </w:p>
        </w:tc>
        <w:tc>
          <w:tcPr>
            <w:tcW w:w="1500" w:type="dxa"/>
            <w:shd w:val="clear" w:color="auto" w:fill="B8CCE4"/>
            <w:vAlign w:val="center"/>
          </w:tcPr>
          <w:p w14:paraId="318ECA78">
            <w:pPr>
              <w:spacing w:line="360" w:lineRule="auto"/>
              <w:jc w:val="center"/>
              <w:rPr>
                <w:b/>
                <w:bCs/>
                <w:color w:val="auto"/>
                <w:kern w:val="0"/>
                <w:sz w:val="22"/>
                <w:highlight w:val="none"/>
              </w:rPr>
            </w:pPr>
            <w:r>
              <w:rPr>
                <w:b/>
                <w:bCs/>
                <w:color w:val="auto"/>
                <w:kern w:val="0"/>
                <w:sz w:val="22"/>
                <w:highlight w:val="none"/>
              </w:rPr>
              <w:t>备注</w:t>
            </w:r>
          </w:p>
        </w:tc>
        <w:tc>
          <w:tcPr>
            <w:tcW w:w="2074" w:type="dxa"/>
            <w:shd w:val="clear" w:color="auto" w:fill="B8CCE4"/>
            <w:vAlign w:val="center"/>
          </w:tcPr>
          <w:p w14:paraId="4434665D">
            <w:pPr>
              <w:spacing w:line="360" w:lineRule="auto"/>
              <w:jc w:val="center"/>
              <w:rPr>
                <w:b/>
                <w:bCs/>
                <w:color w:val="auto"/>
                <w:kern w:val="0"/>
                <w:sz w:val="22"/>
                <w:highlight w:val="none"/>
              </w:rPr>
            </w:pPr>
            <w:r>
              <w:rPr>
                <w:b/>
                <w:bCs/>
                <w:color w:val="auto"/>
                <w:kern w:val="0"/>
                <w:sz w:val="22"/>
                <w:highlight w:val="none"/>
              </w:rPr>
              <w:t>财政预算限额（元）</w:t>
            </w:r>
          </w:p>
        </w:tc>
      </w:tr>
      <w:tr w14:paraId="2E50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8" w:type="dxa"/>
            <w:vAlign w:val="center"/>
          </w:tcPr>
          <w:p w14:paraId="44325B5A">
            <w:pPr>
              <w:widowControl/>
              <w:jc w:val="center"/>
              <w:rPr>
                <w:rFonts w:ascii="宋体" w:hAnsi="宋体" w:cs="宋体"/>
                <w:color w:val="auto"/>
                <w:kern w:val="0"/>
                <w:szCs w:val="21"/>
                <w:highlight w:val="none"/>
              </w:rPr>
            </w:pPr>
            <w:r>
              <w:rPr>
                <w:rFonts w:ascii="宋体" w:hAnsi="宋体" w:cs="宋体"/>
                <w:color w:val="auto"/>
                <w:kern w:val="0"/>
                <w:szCs w:val="21"/>
                <w:highlight w:val="none"/>
              </w:rPr>
              <w:t>1</w:t>
            </w:r>
          </w:p>
        </w:tc>
        <w:tc>
          <w:tcPr>
            <w:tcW w:w="2321" w:type="dxa"/>
            <w:vAlign w:val="center"/>
          </w:tcPr>
          <w:p w14:paraId="3238C41C">
            <w:pPr>
              <w:widowControl/>
              <w:jc w:val="center"/>
              <w:rPr>
                <w:rFonts w:hint="eastAsia" w:ascii="宋体" w:hAnsi="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深圳市儿童医院通用类设备一批项目(重新招标)</w:t>
            </w:r>
          </w:p>
        </w:tc>
        <w:tc>
          <w:tcPr>
            <w:tcW w:w="855" w:type="dxa"/>
            <w:vAlign w:val="center"/>
          </w:tcPr>
          <w:p w14:paraId="64FD972C">
            <w:pPr>
              <w:widowControl/>
              <w:jc w:val="center"/>
              <w:rPr>
                <w:rFonts w:hint="default" w:ascii="宋体" w:hAnsi="宋体" w:cs="宋体"/>
                <w:color w:val="auto"/>
                <w:sz w:val="22"/>
                <w:szCs w:val="22"/>
                <w:highlight w:val="none"/>
                <w:shd w:val="clear" w:color="auto" w:fill="FFFFFF"/>
                <w:lang w:val="en-US" w:eastAsia="zh-CN"/>
              </w:rPr>
            </w:pPr>
            <w:r>
              <w:rPr>
                <w:rFonts w:hint="default" w:ascii="宋体" w:hAnsi="宋体" w:cs="宋体"/>
                <w:color w:val="auto"/>
                <w:sz w:val="22"/>
                <w:szCs w:val="22"/>
                <w:highlight w:val="none"/>
                <w:shd w:val="clear" w:color="auto" w:fill="FFFFFF"/>
                <w:lang w:val="en-US" w:eastAsia="zh-CN"/>
              </w:rPr>
              <w:t>1</w:t>
            </w:r>
          </w:p>
        </w:tc>
        <w:tc>
          <w:tcPr>
            <w:tcW w:w="975" w:type="dxa"/>
            <w:vAlign w:val="center"/>
          </w:tcPr>
          <w:p w14:paraId="3A6BA3A1">
            <w:pPr>
              <w:widowControl/>
              <w:jc w:val="center"/>
              <w:rPr>
                <w:rFonts w:hint="eastAsia" w:ascii="宋体" w:hAnsi="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批</w:t>
            </w:r>
          </w:p>
        </w:tc>
        <w:tc>
          <w:tcPr>
            <w:tcW w:w="1500" w:type="dxa"/>
            <w:vAlign w:val="center"/>
          </w:tcPr>
          <w:p w14:paraId="27CFAE8D">
            <w:pPr>
              <w:widowControl/>
              <w:jc w:val="center"/>
              <w:rPr>
                <w:rFonts w:hint="default" w:ascii="宋体" w:hAnsi="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不</w:t>
            </w:r>
            <w:r>
              <w:rPr>
                <w:rFonts w:hint="default" w:ascii="宋体" w:hAnsi="宋体" w:cs="宋体"/>
                <w:color w:val="auto"/>
                <w:sz w:val="22"/>
                <w:szCs w:val="22"/>
                <w:highlight w:val="none"/>
                <w:shd w:val="clear" w:color="auto" w:fill="FFFFFF"/>
                <w:lang w:val="en-US" w:eastAsia="zh-CN"/>
              </w:rPr>
              <w:t>接受进口</w:t>
            </w:r>
          </w:p>
        </w:tc>
        <w:tc>
          <w:tcPr>
            <w:tcW w:w="2074" w:type="dxa"/>
            <w:vAlign w:val="center"/>
          </w:tcPr>
          <w:p w14:paraId="216B33E4">
            <w:pPr>
              <w:widowControl/>
              <w:jc w:val="center"/>
              <w:rPr>
                <w:rFonts w:hint="eastAsia" w:ascii="宋体" w:hAnsi="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806,000.00</w:t>
            </w:r>
          </w:p>
        </w:tc>
      </w:tr>
    </w:tbl>
    <w:p w14:paraId="44D119A7">
      <w:pPr>
        <w:rPr>
          <w:rFonts w:hint="eastAsia" w:ascii="宋体" w:hAnsi="宋体" w:cs="宋体"/>
          <w:color w:val="auto"/>
          <w:sz w:val="22"/>
          <w:highlight w:val="none"/>
        </w:rPr>
      </w:pPr>
      <w:r>
        <w:rPr>
          <w:rFonts w:ascii="宋体" w:hAnsi="宋体" w:cs="宋体"/>
          <w:b/>
          <w:color w:val="auto"/>
          <w:sz w:val="22"/>
          <w:highlight w:val="none"/>
        </w:rPr>
        <w:t>注：超出财政预算金额的投标报价将做无效标处理。</w:t>
      </w:r>
      <w:r>
        <w:rPr>
          <w:rFonts w:hint="eastAsia" w:ascii="宋体" w:hAnsi="宋体" w:cs="宋体"/>
          <w:color w:val="auto"/>
          <w:sz w:val="22"/>
          <w:highlight w:val="none"/>
        </w:rPr>
        <w:t>备注栏注明“拒绝进口”的产品不接受投标人选用进口产品参与投标；注明“接受进口”的产品允许投标人选用进口产品参与投标，但不排斥国内产品。 （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32A30B6B">
      <w:pPr>
        <w:rPr>
          <w:rFonts w:hint="eastAsia" w:ascii="宋体" w:hAnsi="宋体" w:cs="宋体"/>
          <w:color w:val="auto"/>
          <w:sz w:val="22"/>
          <w:highlight w:val="none"/>
        </w:rPr>
      </w:pPr>
    </w:p>
    <w:p w14:paraId="132850E6">
      <w:pPr>
        <w:numPr>
          <w:ilvl w:val="0"/>
          <w:numId w:val="6"/>
        </w:numPr>
        <w:rPr>
          <w:rFonts w:hint="eastAsia" w:ascii="宋体" w:hAnsi="宋体" w:cs="宋体"/>
          <w:b/>
          <w:color w:val="auto"/>
          <w:sz w:val="22"/>
          <w:highlight w:val="none"/>
          <w:lang w:val="en-US" w:eastAsia="zh-CN"/>
        </w:rPr>
      </w:pPr>
      <w:r>
        <w:rPr>
          <w:rFonts w:hint="eastAsia" w:ascii="宋体" w:hAnsi="宋体" w:cs="宋体"/>
          <w:b/>
          <w:color w:val="auto"/>
          <w:sz w:val="22"/>
          <w:highlight w:val="none"/>
          <w:lang w:val="en-US" w:eastAsia="zh-CN"/>
        </w:rPr>
        <w:t>分项清单</w:t>
      </w:r>
    </w:p>
    <w:tbl>
      <w:tblPr>
        <w:tblStyle w:val="43"/>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0"/>
        <w:gridCol w:w="1688"/>
        <w:gridCol w:w="905"/>
        <w:gridCol w:w="905"/>
        <w:gridCol w:w="1372"/>
        <w:gridCol w:w="1060"/>
        <w:gridCol w:w="1689"/>
      </w:tblGrid>
      <w:tr w14:paraId="68D1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shd w:val="clear" w:color="auto" w:fill="E3F2D9"/>
            <w:noWrap w:val="0"/>
            <w:vAlign w:val="center"/>
          </w:tcPr>
          <w:p w14:paraId="675C4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990" w:type="pct"/>
            <w:tcBorders>
              <w:tl2br w:val="nil"/>
              <w:tr2bl w:val="nil"/>
            </w:tcBorders>
            <w:shd w:val="clear" w:color="auto" w:fill="E3F2D9"/>
            <w:noWrap w:val="0"/>
            <w:vAlign w:val="center"/>
          </w:tcPr>
          <w:p w14:paraId="790BD8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货物名称（标的名称）</w:t>
            </w:r>
          </w:p>
        </w:tc>
        <w:tc>
          <w:tcPr>
            <w:tcW w:w="531" w:type="pct"/>
            <w:tcBorders>
              <w:tl2br w:val="nil"/>
              <w:tr2bl w:val="nil"/>
            </w:tcBorders>
            <w:shd w:val="clear" w:color="auto" w:fill="E3F2D9"/>
            <w:noWrap w:val="0"/>
            <w:vAlign w:val="center"/>
          </w:tcPr>
          <w:p w14:paraId="7484F0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531" w:type="pct"/>
            <w:tcBorders>
              <w:tl2br w:val="nil"/>
              <w:tr2bl w:val="nil"/>
            </w:tcBorders>
            <w:shd w:val="clear" w:color="auto" w:fill="E3F2D9"/>
            <w:noWrap w:val="0"/>
            <w:vAlign w:val="center"/>
          </w:tcPr>
          <w:p w14:paraId="548B5D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805" w:type="pct"/>
            <w:tcBorders>
              <w:tl2br w:val="nil"/>
              <w:tr2bl w:val="nil"/>
            </w:tcBorders>
            <w:shd w:val="clear" w:color="auto" w:fill="E3F2D9"/>
            <w:noWrap w:val="0"/>
            <w:vAlign w:val="center"/>
          </w:tcPr>
          <w:p w14:paraId="1050B5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单价限价</w:t>
            </w:r>
            <w:r>
              <w:rPr>
                <w:rFonts w:hint="eastAsia" w:ascii="宋体" w:hAnsi="宋体" w:cs="宋体"/>
                <w:b/>
                <w:bCs/>
                <w:i w:val="0"/>
                <w:iCs w:val="0"/>
                <w:color w:val="auto"/>
                <w:kern w:val="0"/>
                <w:sz w:val="22"/>
                <w:szCs w:val="22"/>
                <w:highlight w:val="none"/>
                <w:u w:val="none"/>
                <w:lang w:val="en-US" w:eastAsia="zh-CN" w:bidi="ar"/>
              </w:rPr>
              <w:t>（万元）</w:t>
            </w:r>
          </w:p>
        </w:tc>
        <w:tc>
          <w:tcPr>
            <w:tcW w:w="622" w:type="pct"/>
            <w:tcBorders>
              <w:tl2br w:val="nil"/>
              <w:tr2bl w:val="nil"/>
            </w:tcBorders>
            <w:shd w:val="clear" w:color="auto" w:fill="E3F2D9"/>
            <w:noWrap w:val="0"/>
            <w:vAlign w:val="center"/>
          </w:tcPr>
          <w:p w14:paraId="5117EE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2"/>
                <w:szCs w:val="22"/>
                <w:highlight w:val="none"/>
                <w:u w:val="none"/>
                <w:lang w:val="en-US" w:eastAsia="zh-CN"/>
              </w:rPr>
            </w:pPr>
            <w:r>
              <w:rPr>
                <w:rFonts w:hint="eastAsia" w:ascii="宋体" w:hAnsi="宋体" w:eastAsia="宋体" w:cs="宋体"/>
                <w:b/>
                <w:bCs/>
                <w:i w:val="0"/>
                <w:iCs w:val="0"/>
                <w:color w:val="auto"/>
                <w:sz w:val="22"/>
                <w:szCs w:val="22"/>
                <w:highlight w:val="none"/>
                <w:u w:val="none"/>
                <w:lang w:val="en-US" w:eastAsia="zh-CN"/>
              </w:rPr>
              <w:t>合计</w:t>
            </w:r>
            <w:r>
              <w:rPr>
                <w:rFonts w:hint="eastAsia" w:ascii="宋体" w:hAnsi="宋体" w:cs="宋体"/>
                <w:b/>
                <w:bCs/>
                <w:i w:val="0"/>
                <w:iCs w:val="0"/>
                <w:color w:val="auto"/>
                <w:kern w:val="0"/>
                <w:sz w:val="22"/>
                <w:szCs w:val="22"/>
                <w:highlight w:val="none"/>
                <w:u w:val="none"/>
                <w:lang w:val="en-US" w:eastAsia="zh-CN" w:bidi="ar"/>
              </w:rPr>
              <w:t>（万元）</w:t>
            </w:r>
          </w:p>
        </w:tc>
        <w:tc>
          <w:tcPr>
            <w:tcW w:w="990" w:type="pct"/>
            <w:tcBorders>
              <w:tl2br w:val="nil"/>
              <w:tr2bl w:val="nil"/>
            </w:tcBorders>
            <w:shd w:val="clear" w:color="auto" w:fill="E3F2D9"/>
            <w:noWrap w:val="0"/>
            <w:vAlign w:val="center"/>
          </w:tcPr>
          <w:p w14:paraId="3D47EA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备注</w:t>
            </w:r>
          </w:p>
        </w:tc>
      </w:tr>
      <w:tr w14:paraId="76B78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6BAC23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990" w:type="pct"/>
            <w:tcBorders>
              <w:tl2br w:val="nil"/>
              <w:tr2bl w:val="nil"/>
            </w:tcBorders>
            <w:noWrap w:val="0"/>
            <w:vAlign w:val="center"/>
          </w:tcPr>
          <w:p w14:paraId="42467B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default" w:ascii="宋体" w:hAnsi="宋体" w:eastAsia="宋体" w:cs="宋体"/>
                <w:i w:val="0"/>
                <w:iCs w:val="0"/>
                <w:color w:val="auto"/>
                <w:sz w:val="22"/>
                <w:szCs w:val="22"/>
                <w:highlight w:val="none"/>
                <w:u w:val="none"/>
                <w:lang w:val="en-US" w:eastAsia="zh-CN"/>
              </w:rPr>
              <w:t>壁式吸引器</w:t>
            </w:r>
          </w:p>
        </w:tc>
        <w:tc>
          <w:tcPr>
            <w:tcW w:w="531" w:type="pct"/>
            <w:tcBorders>
              <w:tl2br w:val="nil"/>
              <w:tr2bl w:val="nil"/>
            </w:tcBorders>
            <w:noWrap w:val="0"/>
            <w:vAlign w:val="center"/>
          </w:tcPr>
          <w:p w14:paraId="0943E7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092FC4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4</w:t>
            </w:r>
          </w:p>
        </w:tc>
        <w:tc>
          <w:tcPr>
            <w:tcW w:w="805" w:type="pct"/>
            <w:tcBorders>
              <w:tl2br w:val="nil"/>
              <w:tr2bl w:val="nil"/>
            </w:tcBorders>
            <w:noWrap w:val="0"/>
            <w:vAlign w:val="center"/>
          </w:tcPr>
          <w:p w14:paraId="218DA3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0.15</w:t>
            </w:r>
          </w:p>
        </w:tc>
        <w:tc>
          <w:tcPr>
            <w:tcW w:w="622" w:type="pct"/>
            <w:tcBorders>
              <w:tl2br w:val="nil"/>
              <w:tr2bl w:val="nil"/>
            </w:tcBorders>
            <w:noWrap w:val="0"/>
            <w:vAlign w:val="center"/>
          </w:tcPr>
          <w:p w14:paraId="420BC9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0.6</w:t>
            </w:r>
          </w:p>
        </w:tc>
        <w:tc>
          <w:tcPr>
            <w:tcW w:w="990" w:type="pct"/>
            <w:tcBorders>
              <w:tl2br w:val="nil"/>
              <w:tr2bl w:val="nil"/>
            </w:tcBorders>
            <w:noWrap w:val="0"/>
            <w:vAlign w:val="center"/>
          </w:tcPr>
          <w:p w14:paraId="2443CE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527CF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528" w:type="pct"/>
            <w:tcBorders>
              <w:tl2br w:val="nil"/>
              <w:tr2bl w:val="nil"/>
            </w:tcBorders>
            <w:noWrap w:val="0"/>
            <w:vAlign w:val="center"/>
          </w:tcPr>
          <w:p w14:paraId="2A4969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p>
        </w:tc>
        <w:tc>
          <w:tcPr>
            <w:tcW w:w="990" w:type="pct"/>
            <w:tcBorders>
              <w:tl2br w:val="nil"/>
              <w:tr2bl w:val="nil"/>
            </w:tcBorders>
            <w:noWrap w:val="0"/>
            <w:vAlign w:val="center"/>
          </w:tcPr>
          <w:p w14:paraId="01EBA9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生命体征测量仪</w:t>
            </w:r>
          </w:p>
        </w:tc>
        <w:tc>
          <w:tcPr>
            <w:tcW w:w="531" w:type="pct"/>
            <w:tcBorders>
              <w:tl2br w:val="nil"/>
              <w:tr2bl w:val="nil"/>
            </w:tcBorders>
            <w:noWrap w:val="0"/>
            <w:vAlign w:val="center"/>
          </w:tcPr>
          <w:p w14:paraId="5343CB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套</w:t>
            </w:r>
          </w:p>
        </w:tc>
        <w:tc>
          <w:tcPr>
            <w:tcW w:w="531" w:type="pct"/>
            <w:tcBorders>
              <w:tl2br w:val="nil"/>
              <w:tr2bl w:val="nil"/>
            </w:tcBorders>
            <w:noWrap w:val="0"/>
            <w:vAlign w:val="center"/>
          </w:tcPr>
          <w:p w14:paraId="60AB88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3CED71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2.8</w:t>
            </w:r>
          </w:p>
        </w:tc>
        <w:tc>
          <w:tcPr>
            <w:tcW w:w="622" w:type="pct"/>
            <w:tcBorders>
              <w:tl2br w:val="nil"/>
              <w:tr2bl w:val="nil"/>
            </w:tcBorders>
            <w:noWrap w:val="0"/>
            <w:vAlign w:val="center"/>
          </w:tcPr>
          <w:p w14:paraId="1FF59E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2.8</w:t>
            </w:r>
          </w:p>
        </w:tc>
        <w:tc>
          <w:tcPr>
            <w:tcW w:w="990" w:type="pct"/>
            <w:tcBorders>
              <w:tl2br w:val="nil"/>
              <w:tr2bl w:val="nil"/>
            </w:tcBorders>
            <w:noWrap w:val="0"/>
            <w:vAlign w:val="center"/>
          </w:tcPr>
          <w:p w14:paraId="4B6A9C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57E76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41DBED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w:t>
            </w:r>
          </w:p>
        </w:tc>
        <w:tc>
          <w:tcPr>
            <w:tcW w:w="990" w:type="pct"/>
            <w:tcBorders>
              <w:tl2br w:val="nil"/>
              <w:tr2bl w:val="nil"/>
            </w:tcBorders>
            <w:noWrap w:val="0"/>
            <w:vAlign w:val="center"/>
          </w:tcPr>
          <w:p w14:paraId="6F5702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输液泵</w:t>
            </w:r>
          </w:p>
        </w:tc>
        <w:tc>
          <w:tcPr>
            <w:tcW w:w="531" w:type="pct"/>
            <w:tcBorders>
              <w:tl2br w:val="nil"/>
              <w:tr2bl w:val="nil"/>
            </w:tcBorders>
            <w:noWrap w:val="0"/>
            <w:vAlign w:val="center"/>
          </w:tcPr>
          <w:p w14:paraId="3F1AA1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612DF3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1E9F7D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0.85</w:t>
            </w:r>
          </w:p>
        </w:tc>
        <w:tc>
          <w:tcPr>
            <w:tcW w:w="622" w:type="pct"/>
            <w:tcBorders>
              <w:tl2br w:val="nil"/>
              <w:tr2bl w:val="nil"/>
            </w:tcBorders>
            <w:noWrap w:val="0"/>
            <w:vAlign w:val="center"/>
          </w:tcPr>
          <w:p w14:paraId="6F88AF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0.85</w:t>
            </w:r>
          </w:p>
        </w:tc>
        <w:tc>
          <w:tcPr>
            <w:tcW w:w="990" w:type="pct"/>
            <w:tcBorders>
              <w:tl2br w:val="nil"/>
              <w:tr2bl w:val="nil"/>
            </w:tcBorders>
            <w:noWrap w:val="0"/>
            <w:vAlign w:val="center"/>
          </w:tcPr>
          <w:p w14:paraId="4D92E0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355FE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43AA56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4</w:t>
            </w:r>
          </w:p>
        </w:tc>
        <w:tc>
          <w:tcPr>
            <w:tcW w:w="990" w:type="pct"/>
            <w:tcBorders>
              <w:tl2br w:val="nil"/>
              <w:tr2bl w:val="nil"/>
            </w:tcBorders>
            <w:noWrap w:val="0"/>
            <w:vAlign w:val="center"/>
          </w:tcPr>
          <w:p w14:paraId="2452C0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注射泵</w:t>
            </w:r>
          </w:p>
        </w:tc>
        <w:tc>
          <w:tcPr>
            <w:tcW w:w="531" w:type="pct"/>
            <w:tcBorders>
              <w:tl2br w:val="nil"/>
              <w:tr2bl w:val="nil"/>
            </w:tcBorders>
            <w:noWrap w:val="0"/>
            <w:vAlign w:val="center"/>
          </w:tcPr>
          <w:p w14:paraId="6AB117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7B002E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0D1F97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0.85</w:t>
            </w:r>
          </w:p>
        </w:tc>
        <w:tc>
          <w:tcPr>
            <w:tcW w:w="622" w:type="pct"/>
            <w:tcBorders>
              <w:tl2br w:val="nil"/>
              <w:tr2bl w:val="nil"/>
            </w:tcBorders>
            <w:noWrap w:val="0"/>
            <w:vAlign w:val="center"/>
          </w:tcPr>
          <w:p w14:paraId="561584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0.85</w:t>
            </w:r>
          </w:p>
        </w:tc>
        <w:tc>
          <w:tcPr>
            <w:tcW w:w="990" w:type="pct"/>
            <w:tcBorders>
              <w:tl2br w:val="nil"/>
              <w:tr2bl w:val="nil"/>
            </w:tcBorders>
            <w:noWrap w:val="0"/>
            <w:vAlign w:val="center"/>
          </w:tcPr>
          <w:p w14:paraId="4E251F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50423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763345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5</w:t>
            </w:r>
          </w:p>
        </w:tc>
        <w:tc>
          <w:tcPr>
            <w:tcW w:w="990" w:type="pct"/>
            <w:tcBorders>
              <w:tl2br w:val="nil"/>
              <w:tr2bl w:val="nil"/>
            </w:tcBorders>
            <w:noWrap w:val="0"/>
            <w:vAlign w:val="center"/>
          </w:tcPr>
          <w:p w14:paraId="46D20E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床单位空气消毒机</w:t>
            </w:r>
          </w:p>
        </w:tc>
        <w:tc>
          <w:tcPr>
            <w:tcW w:w="531" w:type="pct"/>
            <w:tcBorders>
              <w:tl2br w:val="nil"/>
              <w:tr2bl w:val="nil"/>
            </w:tcBorders>
            <w:noWrap w:val="0"/>
            <w:vAlign w:val="center"/>
          </w:tcPr>
          <w:p w14:paraId="334EF3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52E3F8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51B2E4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1.35</w:t>
            </w:r>
          </w:p>
        </w:tc>
        <w:tc>
          <w:tcPr>
            <w:tcW w:w="622" w:type="pct"/>
            <w:tcBorders>
              <w:tl2br w:val="nil"/>
              <w:tr2bl w:val="nil"/>
            </w:tcBorders>
            <w:noWrap w:val="0"/>
            <w:vAlign w:val="center"/>
          </w:tcPr>
          <w:p w14:paraId="6C40E0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1.35</w:t>
            </w:r>
          </w:p>
        </w:tc>
        <w:tc>
          <w:tcPr>
            <w:tcW w:w="990" w:type="pct"/>
            <w:tcBorders>
              <w:tl2br w:val="nil"/>
              <w:tr2bl w:val="nil"/>
            </w:tcBorders>
            <w:noWrap w:val="0"/>
            <w:vAlign w:val="center"/>
          </w:tcPr>
          <w:p w14:paraId="0D5287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0B5CA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4D10CC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6</w:t>
            </w:r>
          </w:p>
        </w:tc>
        <w:tc>
          <w:tcPr>
            <w:tcW w:w="990" w:type="pct"/>
            <w:tcBorders>
              <w:tl2br w:val="nil"/>
              <w:tr2bl w:val="nil"/>
            </w:tcBorders>
            <w:noWrap w:val="0"/>
            <w:vAlign w:val="center"/>
          </w:tcPr>
          <w:p w14:paraId="283CE3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输液架</w:t>
            </w:r>
          </w:p>
        </w:tc>
        <w:tc>
          <w:tcPr>
            <w:tcW w:w="531" w:type="pct"/>
            <w:tcBorders>
              <w:tl2br w:val="nil"/>
              <w:tr2bl w:val="nil"/>
            </w:tcBorders>
            <w:noWrap w:val="0"/>
            <w:vAlign w:val="center"/>
          </w:tcPr>
          <w:p w14:paraId="6643BF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72F7F2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w:t>
            </w:r>
          </w:p>
        </w:tc>
        <w:tc>
          <w:tcPr>
            <w:tcW w:w="805" w:type="pct"/>
            <w:tcBorders>
              <w:tl2br w:val="nil"/>
              <w:tr2bl w:val="nil"/>
            </w:tcBorders>
            <w:noWrap w:val="0"/>
            <w:vAlign w:val="center"/>
          </w:tcPr>
          <w:p w14:paraId="19658B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0.05</w:t>
            </w:r>
          </w:p>
        </w:tc>
        <w:tc>
          <w:tcPr>
            <w:tcW w:w="622" w:type="pct"/>
            <w:tcBorders>
              <w:tl2br w:val="nil"/>
              <w:tr2bl w:val="nil"/>
            </w:tcBorders>
            <w:noWrap w:val="0"/>
            <w:vAlign w:val="center"/>
          </w:tcPr>
          <w:p w14:paraId="4486B6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0.15</w:t>
            </w:r>
          </w:p>
        </w:tc>
        <w:tc>
          <w:tcPr>
            <w:tcW w:w="990" w:type="pct"/>
            <w:tcBorders>
              <w:tl2br w:val="nil"/>
              <w:tr2bl w:val="nil"/>
            </w:tcBorders>
            <w:noWrap w:val="0"/>
            <w:vAlign w:val="center"/>
          </w:tcPr>
          <w:p w14:paraId="793B34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732F4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370B23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7</w:t>
            </w:r>
          </w:p>
        </w:tc>
        <w:tc>
          <w:tcPr>
            <w:tcW w:w="990" w:type="pct"/>
            <w:tcBorders>
              <w:tl2br w:val="nil"/>
              <w:tr2bl w:val="nil"/>
            </w:tcBorders>
            <w:noWrap w:val="0"/>
            <w:vAlign w:val="center"/>
          </w:tcPr>
          <w:p w14:paraId="52A804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人体成分分析仪</w:t>
            </w:r>
          </w:p>
        </w:tc>
        <w:tc>
          <w:tcPr>
            <w:tcW w:w="531" w:type="pct"/>
            <w:tcBorders>
              <w:tl2br w:val="nil"/>
              <w:tr2bl w:val="nil"/>
            </w:tcBorders>
            <w:noWrap w:val="0"/>
            <w:vAlign w:val="center"/>
          </w:tcPr>
          <w:p w14:paraId="0AA68C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套</w:t>
            </w:r>
          </w:p>
        </w:tc>
        <w:tc>
          <w:tcPr>
            <w:tcW w:w="531" w:type="pct"/>
            <w:tcBorders>
              <w:tl2br w:val="nil"/>
              <w:tr2bl w:val="nil"/>
            </w:tcBorders>
            <w:noWrap w:val="0"/>
            <w:vAlign w:val="center"/>
          </w:tcPr>
          <w:p w14:paraId="7E1607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4376C0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35</w:t>
            </w:r>
          </w:p>
        </w:tc>
        <w:tc>
          <w:tcPr>
            <w:tcW w:w="622" w:type="pct"/>
            <w:tcBorders>
              <w:tl2br w:val="nil"/>
              <w:tr2bl w:val="nil"/>
            </w:tcBorders>
            <w:noWrap w:val="0"/>
            <w:vAlign w:val="center"/>
          </w:tcPr>
          <w:p w14:paraId="5EFE9A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35</w:t>
            </w:r>
          </w:p>
        </w:tc>
        <w:tc>
          <w:tcPr>
            <w:tcW w:w="990" w:type="pct"/>
            <w:tcBorders>
              <w:tl2br w:val="nil"/>
              <w:tr2bl w:val="nil"/>
            </w:tcBorders>
            <w:noWrap w:val="0"/>
            <w:vAlign w:val="center"/>
          </w:tcPr>
          <w:p w14:paraId="24366B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36E20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1EF7FE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8</w:t>
            </w:r>
          </w:p>
        </w:tc>
        <w:tc>
          <w:tcPr>
            <w:tcW w:w="990" w:type="pct"/>
            <w:tcBorders>
              <w:tl2br w:val="nil"/>
              <w:tr2bl w:val="nil"/>
            </w:tcBorders>
            <w:noWrap w:val="0"/>
            <w:vAlign w:val="center"/>
          </w:tcPr>
          <w:p w14:paraId="79E7E7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移动式空气消毒机</w:t>
            </w:r>
          </w:p>
        </w:tc>
        <w:tc>
          <w:tcPr>
            <w:tcW w:w="531" w:type="pct"/>
            <w:tcBorders>
              <w:tl2br w:val="nil"/>
              <w:tr2bl w:val="nil"/>
            </w:tcBorders>
            <w:noWrap w:val="0"/>
            <w:vAlign w:val="center"/>
          </w:tcPr>
          <w:p w14:paraId="5AFFBB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799675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03C08C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0.5</w:t>
            </w:r>
          </w:p>
        </w:tc>
        <w:tc>
          <w:tcPr>
            <w:tcW w:w="622" w:type="pct"/>
            <w:tcBorders>
              <w:tl2br w:val="nil"/>
              <w:tr2bl w:val="nil"/>
            </w:tcBorders>
            <w:noWrap w:val="0"/>
            <w:vAlign w:val="center"/>
          </w:tcPr>
          <w:p w14:paraId="54524E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0.5</w:t>
            </w:r>
          </w:p>
        </w:tc>
        <w:tc>
          <w:tcPr>
            <w:tcW w:w="990" w:type="pct"/>
            <w:tcBorders>
              <w:tl2br w:val="nil"/>
              <w:tr2bl w:val="nil"/>
            </w:tcBorders>
            <w:noWrap w:val="0"/>
            <w:vAlign w:val="center"/>
          </w:tcPr>
          <w:p w14:paraId="08DB5A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3FB30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1E5C2A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9</w:t>
            </w:r>
          </w:p>
        </w:tc>
        <w:tc>
          <w:tcPr>
            <w:tcW w:w="990" w:type="pct"/>
            <w:tcBorders>
              <w:tl2br w:val="nil"/>
              <w:tr2bl w:val="nil"/>
            </w:tcBorders>
            <w:noWrap w:val="0"/>
            <w:vAlign w:val="center"/>
          </w:tcPr>
          <w:p w14:paraId="5B9B22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手持双目视力筛查仪</w:t>
            </w:r>
          </w:p>
        </w:tc>
        <w:tc>
          <w:tcPr>
            <w:tcW w:w="531" w:type="pct"/>
            <w:tcBorders>
              <w:tl2br w:val="nil"/>
              <w:tr2bl w:val="nil"/>
            </w:tcBorders>
            <w:noWrap w:val="0"/>
            <w:vAlign w:val="center"/>
          </w:tcPr>
          <w:p w14:paraId="181EA0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3325D4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05" w:type="pct"/>
            <w:tcBorders>
              <w:tl2br w:val="nil"/>
              <w:tr2bl w:val="nil"/>
            </w:tcBorders>
            <w:noWrap w:val="0"/>
            <w:vAlign w:val="center"/>
          </w:tcPr>
          <w:p w14:paraId="5EA505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12</w:t>
            </w:r>
            <w:bookmarkStart w:id="256" w:name="_GoBack"/>
            <w:bookmarkEnd w:id="256"/>
          </w:p>
        </w:tc>
        <w:tc>
          <w:tcPr>
            <w:tcW w:w="622" w:type="pct"/>
            <w:tcBorders>
              <w:tl2br w:val="nil"/>
              <w:tr2bl w:val="nil"/>
            </w:tcBorders>
            <w:noWrap w:val="0"/>
            <w:vAlign w:val="center"/>
          </w:tcPr>
          <w:p w14:paraId="027CB3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12</w:t>
            </w:r>
          </w:p>
        </w:tc>
        <w:tc>
          <w:tcPr>
            <w:tcW w:w="990" w:type="pct"/>
            <w:tcBorders>
              <w:tl2br w:val="nil"/>
              <w:tr2bl w:val="nil"/>
            </w:tcBorders>
            <w:noWrap w:val="0"/>
            <w:vAlign w:val="center"/>
          </w:tcPr>
          <w:p w14:paraId="194F22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25183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280DC0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10</w:t>
            </w:r>
          </w:p>
        </w:tc>
        <w:tc>
          <w:tcPr>
            <w:tcW w:w="990" w:type="pct"/>
            <w:tcBorders>
              <w:tl2br w:val="nil"/>
              <w:tr2bl w:val="nil"/>
            </w:tcBorders>
            <w:noWrap w:val="0"/>
            <w:vAlign w:val="center"/>
          </w:tcPr>
          <w:p w14:paraId="09C753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医用转运车</w:t>
            </w:r>
          </w:p>
        </w:tc>
        <w:tc>
          <w:tcPr>
            <w:tcW w:w="531" w:type="pct"/>
            <w:tcBorders>
              <w:tl2br w:val="nil"/>
              <w:tr2bl w:val="nil"/>
            </w:tcBorders>
            <w:noWrap w:val="0"/>
            <w:vAlign w:val="center"/>
          </w:tcPr>
          <w:p w14:paraId="4A6A97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24DC35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10</w:t>
            </w:r>
          </w:p>
        </w:tc>
        <w:tc>
          <w:tcPr>
            <w:tcW w:w="805" w:type="pct"/>
            <w:tcBorders>
              <w:tl2br w:val="nil"/>
              <w:tr2bl w:val="nil"/>
            </w:tcBorders>
            <w:noWrap w:val="0"/>
            <w:vAlign w:val="center"/>
          </w:tcPr>
          <w:p w14:paraId="297D64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r>
              <w:rPr>
                <w:rFonts w:hint="eastAsia" w:ascii="宋体" w:hAnsi="宋体" w:cs="宋体"/>
                <w:i w:val="0"/>
                <w:iCs w:val="0"/>
                <w:color w:val="auto"/>
                <w:sz w:val="22"/>
                <w:szCs w:val="22"/>
                <w:highlight w:val="none"/>
                <w:u w:val="none"/>
                <w:lang w:val="en-US" w:eastAsia="zh-CN"/>
              </w:rPr>
              <w:t>.5</w:t>
            </w:r>
          </w:p>
        </w:tc>
        <w:tc>
          <w:tcPr>
            <w:tcW w:w="622" w:type="pct"/>
            <w:tcBorders>
              <w:tl2br w:val="nil"/>
              <w:tr2bl w:val="nil"/>
            </w:tcBorders>
            <w:noWrap w:val="0"/>
            <w:vAlign w:val="center"/>
          </w:tcPr>
          <w:p w14:paraId="22625A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r>
              <w:rPr>
                <w:rFonts w:hint="eastAsia" w:ascii="宋体" w:hAnsi="宋体" w:cs="宋体"/>
                <w:i w:val="0"/>
                <w:iCs w:val="0"/>
                <w:color w:val="auto"/>
                <w:sz w:val="22"/>
                <w:szCs w:val="22"/>
                <w:highlight w:val="none"/>
                <w:u w:val="none"/>
                <w:lang w:val="en-US" w:eastAsia="zh-CN"/>
              </w:rPr>
              <w:t>5</w:t>
            </w:r>
          </w:p>
        </w:tc>
        <w:tc>
          <w:tcPr>
            <w:tcW w:w="990" w:type="pct"/>
            <w:tcBorders>
              <w:tl2br w:val="nil"/>
              <w:tr2bl w:val="nil"/>
            </w:tcBorders>
            <w:noWrap w:val="0"/>
            <w:vAlign w:val="center"/>
          </w:tcPr>
          <w:p w14:paraId="5D5166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17922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4A5EDA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11</w:t>
            </w:r>
          </w:p>
        </w:tc>
        <w:tc>
          <w:tcPr>
            <w:tcW w:w="990" w:type="pct"/>
            <w:tcBorders>
              <w:tl2br w:val="nil"/>
              <w:tr2bl w:val="nil"/>
            </w:tcBorders>
            <w:noWrap w:val="0"/>
            <w:vAlign w:val="center"/>
          </w:tcPr>
          <w:p w14:paraId="53F79F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臭氧消毒机</w:t>
            </w:r>
          </w:p>
        </w:tc>
        <w:tc>
          <w:tcPr>
            <w:tcW w:w="531" w:type="pct"/>
            <w:tcBorders>
              <w:tl2br w:val="nil"/>
              <w:tr2bl w:val="nil"/>
            </w:tcBorders>
            <w:noWrap w:val="0"/>
            <w:vAlign w:val="center"/>
          </w:tcPr>
          <w:p w14:paraId="357EF2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台</w:t>
            </w:r>
          </w:p>
        </w:tc>
        <w:tc>
          <w:tcPr>
            <w:tcW w:w="531" w:type="pct"/>
            <w:tcBorders>
              <w:tl2br w:val="nil"/>
              <w:tr2bl w:val="nil"/>
            </w:tcBorders>
            <w:noWrap w:val="0"/>
            <w:vAlign w:val="center"/>
          </w:tcPr>
          <w:p w14:paraId="1AEE59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p>
        </w:tc>
        <w:tc>
          <w:tcPr>
            <w:tcW w:w="805" w:type="pct"/>
            <w:tcBorders>
              <w:tl2br w:val="nil"/>
              <w:tr2bl w:val="nil"/>
            </w:tcBorders>
            <w:noWrap w:val="0"/>
            <w:vAlign w:val="center"/>
          </w:tcPr>
          <w:p w14:paraId="1D469C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0.5</w:t>
            </w:r>
          </w:p>
        </w:tc>
        <w:tc>
          <w:tcPr>
            <w:tcW w:w="622" w:type="pct"/>
            <w:tcBorders>
              <w:tl2br w:val="nil"/>
              <w:tr2bl w:val="nil"/>
            </w:tcBorders>
            <w:noWrap w:val="0"/>
            <w:vAlign w:val="center"/>
          </w:tcPr>
          <w:p w14:paraId="1937C1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990" w:type="pct"/>
            <w:tcBorders>
              <w:tl2br w:val="nil"/>
              <w:tr2bl w:val="nil"/>
            </w:tcBorders>
            <w:noWrap w:val="0"/>
            <w:vAlign w:val="center"/>
          </w:tcPr>
          <w:p w14:paraId="133803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r w14:paraId="77F13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28" w:type="pct"/>
            <w:tcBorders>
              <w:tl2br w:val="nil"/>
              <w:tr2bl w:val="nil"/>
            </w:tcBorders>
            <w:noWrap w:val="0"/>
            <w:vAlign w:val="center"/>
          </w:tcPr>
          <w:p w14:paraId="0E8768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12</w:t>
            </w:r>
          </w:p>
        </w:tc>
        <w:tc>
          <w:tcPr>
            <w:tcW w:w="990" w:type="pct"/>
            <w:tcBorders>
              <w:tl2br w:val="nil"/>
              <w:tr2bl w:val="nil"/>
            </w:tcBorders>
            <w:noWrap w:val="0"/>
            <w:vAlign w:val="center"/>
          </w:tcPr>
          <w:p w14:paraId="0BDD45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石膏电锯</w:t>
            </w:r>
          </w:p>
        </w:tc>
        <w:tc>
          <w:tcPr>
            <w:tcW w:w="531" w:type="pct"/>
            <w:tcBorders>
              <w:tl2br w:val="nil"/>
              <w:tr2bl w:val="nil"/>
            </w:tcBorders>
            <w:noWrap w:val="0"/>
            <w:vAlign w:val="center"/>
          </w:tcPr>
          <w:p w14:paraId="0C75E9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套</w:t>
            </w:r>
          </w:p>
        </w:tc>
        <w:tc>
          <w:tcPr>
            <w:tcW w:w="531" w:type="pct"/>
            <w:tcBorders>
              <w:tl2br w:val="nil"/>
              <w:tr2bl w:val="nil"/>
            </w:tcBorders>
            <w:noWrap w:val="0"/>
            <w:vAlign w:val="center"/>
          </w:tcPr>
          <w:p w14:paraId="65A5D5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p>
        </w:tc>
        <w:tc>
          <w:tcPr>
            <w:tcW w:w="805" w:type="pct"/>
            <w:tcBorders>
              <w:tl2br w:val="nil"/>
              <w:tr2bl w:val="nil"/>
            </w:tcBorders>
            <w:noWrap w:val="0"/>
            <w:vAlign w:val="center"/>
          </w:tcPr>
          <w:p w14:paraId="40D331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0.25</w:t>
            </w:r>
          </w:p>
        </w:tc>
        <w:tc>
          <w:tcPr>
            <w:tcW w:w="622" w:type="pct"/>
            <w:tcBorders>
              <w:tl2br w:val="nil"/>
              <w:tr2bl w:val="nil"/>
            </w:tcBorders>
            <w:noWrap w:val="0"/>
            <w:vAlign w:val="center"/>
          </w:tcPr>
          <w:p w14:paraId="49BB30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0.5</w:t>
            </w:r>
          </w:p>
        </w:tc>
        <w:tc>
          <w:tcPr>
            <w:tcW w:w="990" w:type="pct"/>
            <w:tcBorders>
              <w:tl2br w:val="nil"/>
              <w:tr2bl w:val="nil"/>
            </w:tcBorders>
            <w:noWrap w:val="0"/>
            <w:vAlign w:val="center"/>
          </w:tcPr>
          <w:p w14:paraId="3926D6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不接受进口</w:t>
            </w:r>
          </w:p>
        </w:tc>
      </w:tr>
    </w:tbl>
    <w:p w14:paraId="0965F933">
      <w:pPr>
        <w:keepNext/>
        <w:keepLines/>
        <w:numPr>
          <w:ilvl w:val="0"/>
          <w:numId w:val="5"/>
        </w:numPr>
        <w:adjustRightInd w:val="0"/>
        <w:spacing w:before="156" w:beforeLines="50" w:after="156" w:afterLines="50"/>
        <w:jc w:val="center"/>
        <w:textAlignment w:val="baseline"/>
        <w:outlineLvl w:val="1"/>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具体技术要求</w:t>
      </w:r>
    </w:p>
    <w:p w14:paraId="51D2F77F">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说明： 1、评分时，如对一项招标技术要求（以划分框为准）中的内容存在两处（或以上）负偏离的，在评分时只作一项负偏离扣分。</w:t>
      </w:r>
    </w:p>
    <w:p w14:paraId="0FF61B0A">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2、带★号条款为不可</w:t>
      </w:r>
      <w:r>
        <w:rPr>
          <w:rFonts w:hint="eastAsia" w:ascii="宋体" w:hAnsi="宋体" w:eastAsia="宋体" w:cs="宋体"/>
          <w:b w:val="0"/>
          <w:bCs/>
          <w:color w:val="auto"/>
          <w:sz w:val="22"/>
          <w:szCs w:val="22"/>
          <w:highlight w:val="none"/>
          <w:lang w:val="en-US" w:eastAsia="zh-CN"/>
        </w:rPr>
        <w:t>负</w:t>
      </w:r>
      <w:r>
        <w:rPr>
          <w:rFonts w:hint="eastAsia" w:ascii="宋体" w:hAnsi="宋体" w:eastAsia="宋体" w:cs="宋体"/>
          <w:b w:val="0"/>
          <w:bCs/>
          <w:color w:val="auto"/>
          <w:sz w:val="22"/>
          <w:szCs w:val="22"/>
          <w:highlight w:val="none"/>
        </w:rPr>
        <w:t>偏离条款，不作为评分准则中的评分内容</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如未响应或出现负偏离的，将作投标无效处理；带“▲”指标项为重要参数条款，负偏离时依相关评分准则内容作重点扣分处理。</w:t>
      </w:r>
    </w:p>
    <w:p w14:paraId="6BEBAC2A">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3、招标技术要求中，用红色加粗字体标注的指标项均要求提供证明资料；其余指标项未要求提供证明资料，无需提供相关证明资料。</w:t>
      </w:r>
    </w:p>
    <w:p w14:paraId="33E8B523">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4、涉及区间的参数，除特别注明以外，</w:t>
      </w:r>
      <w:bookmarkStart w:id="29" w:name="_Hlk75447406"/>
      <w:r>
        <w:rPr>
          <w:rFonts w:hint="eastAsia" w:ascii="宋体" w:hAnsi="宋体" w:eastAsia="宋体" w:cs="宋体"/>
          <w:b w:val="0"/>
          <w:bCs/>
          <w:color w:val="auto"/>
          <w:sz w:val="22"/>
          <w:szCs w:val="22"/>
          <w:highlight w:val="none"/>
        </w:rPr>
        <w:t>产品参数区间与招标要求不一致的均视为负偏离。</w:t>
      </w:r>
      <w:bookmarkEnd w:id="29"/>
      <w:r>
        <w:rPr>
          <w:rFonts w:hint="eastAsia" w:ascii="宋体" w:hAnsi="宋体" w:eastAsia="宋体" w:cs="宋体"/>
          <w:b w:val="0"/>
          <w:bCs/>
          <w:color w:val="auto"/>
          <w:sz w:val="22"/>
          <w:szCs w:val="22"/>
          <w:highlight w:val="none"/>
        </w:rPr>
        <w:t>例：区间要求为0-20ML,只要响应的不是“0-20ML”，如投标文件响应为 0-15ML 、0-21ML 、1-12ML 、 9-20ML 、6-21ML 、9ML等情形均视为负偏离。</w:t>
      </w:r>
    </w:p>
    <w:p w14:paraId="4B66E575">
      <w:pPr>
        <w:numPr>
          <w:ilvl w:val="0"/>
          <w:numId w:val="0"/>
        </w:numPr>
        <w:rPr>
          <w:rFonts w:hint="eastAsia" w:ascii="宋体" w:hAnsi="宋体" w:eastAsia="宋体" w:cs="宋体"/>
          <w:b/>
          <w:color w:val="auto"/>
          <w:sz w:val="22"/>
          <w:highlight w:val="none"/>
          <w:lang w:val="en-US" w:eastAsia="zh-CN"/>
        </w:rPr>
      </w:pPr>
    </w:p>
    <w:p w14:paraId="19ACE981">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（一）壁式吸引器</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706"/>
        <w:gridCol w:w="7356"/>
      </w:tblGrid>
      <w:tr w14:paraId="39D0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shd w:val="clear" w:color="auto" w:fill="auto"/>
            <w:vAlign w:val="center"/>
          </w:tcPr>
          <w:p w14:paraId="789B12E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276382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6" w:type="pct"/>
            <w:shd w:val="clear" w:color="auto" w:fill="auto"/>
            <w:vAlign w:val="center"/>
          </w:tcPr>
          <w:p w14:paraId="1CA044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5490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restart"/>
            <w:shd w:val="clear" w:color="auto" w:fill="auto"/>
            <w:vAlign w:val="center"/>
          </w:tcPr>
          <w:p w14:paraId="562E154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22F15C6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壁式吸引器</w:t>
            </w:r>
          </w:p>
        </w:tc>
        <w:tc>
          <w:tcPr>
            <w:tcW w:w="4316" w:type="pct"/>
            <w:shd w:val="clear" w:color="auto" w:fill="auto"/>
            <w:vAlign w:val="center"/>
          </w:tcPr>
          <w:p w14:paraId="74266DC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b w:val="0"/>
                <w:bCs/>
                <w:color w:val="auto"/>
                <w:kern w:val="0"/>
                <w:sz w:val="22"/>
                <w:szCs w:val="22"/>
                <w:highlight w:val="none"/>
                <w:lang w:val="en-US" w:eastAsia="zh-CN"/>
              </w:rPr>
            </w:pPr>
            <w:r>
              <w:rPr>
                <w:rFonts w:hint="eastAsia" w:ascii="宋体" w:hAnsi="宋体" w:eastAsia="宋体" w:cs="宋体"/>
                <w:b w:val="0"/>
                <w:bCs/>
                <w:color w:val="auto"/>
                <w:kern w:val="0"/>
                <w:sz w:val="22"/>
                <w:szCs w:val="22"/>
                <w:highlight w:val="none"/>
                <w:lang w:val="en-US" w:eastAsia="zh-CN"/>
              </w:rPr>
              <w:t>1、设备由负压表显调节装置和负压终端接头组成，必须自带溢流保护装置。</w:t>
            </w:r>
          </w:p>
        </w:tc>
      </w:tr>
      <w:tr w14:paraId="2F52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3DAE7A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6F281F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509C391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val="en-US" w:eastAsia="zh-CN"/>
              </w:rPr>
              <w:t>2、设备采取夜光表盘，顺时针、逆时针两种模式，表盘直径≥2寸，并且不同的负压段，采用不同的颜色标识，以便读数更清晰;设备的表盘有“0--21Kpa“0--40Kpa“0--100Kpa”可选，以便科室使用选择;设备的负压精度必须是满量程的负压吸引士5%以内(含士5%);设备外壳采用工程塑料，流线型紧凑设计，结构牢固，并可用消毒剂即可清洁干净，设备自带位于顶部的指拨式切换开关</w:t>
            </w:r>
            <w:r>
              <w:rPr>
                <w:rFonts w:hint="eastAsia" w:ascii="宋体" w:hAnsi="宋体" w:cs="宋体"/>
                <w:b w:val="0"/>
                <w:bCs/>
                <w:color w:val="auto"/>
                <w:kern w:val="0"/>
                <w:sz w:val="22"/>
                <w:szCs w:val="22"/>
                <w:highlight w:val="none"/>
                <w:lang w:val="en-US" w:eastAsia="zh-CN"/>
              </w:rPr>
              <w:t>。</w:t>
            </w:r>
          </w:p>
        </w:tc>
      </w:tr>
      <w:tr w14:paraId="0A03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6581E88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6EB9EEF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28D436C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lang w:val="en-US" w:eastAsia="zh-CN"/>
              </w:rPr>
              <w:t>3、调节“、”关闭“工作指示模式指示标贴，简单操作，方便使用者从容应对突发事件</w:t>
            </w:r>
            <w:r>
              <w:rPr>
                <w:rFonts w:hint="eastAsia" w:ascii="宋体" w:hAnsi="宋体" w:cs="宋体"/>
                <w:b w:val="0"/>
                <w:bCs/>
                <w:color w:val="auto"/>
                <w:kern w:val="0"/>
                <w:sz w:val="22"/>
                <w:szCs w:val="22"/>
                <w:highlight w:val="none"/>
                <w:lang w:val="en-US" w:eastAsia="zh-CN"/>
              </w:rPr>
              <w:t>。</w:t>
            </w:r>
          </w:p>
        </w:tc>
      </w:tr>
      <w:tr w14:paraId="1287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5A12B41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4C0D832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70C476B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lang w:val="en-US" w:eastAsia="zh-CN"/>
              </w:rPr>
              <w:t>4、“设备抽吸压力可依要求无级设定采用大旋钮，纳米防菌技术，并有ISO 色标可供选择;设备内部所用机械部件比较少，耐腐蚀、无需润滑以便轻量化设计，维护方便;设备的负压口可兼容不同形状的接头，吸引器和接头可立即拆卸，方便维修;必须兼容德标，并可根据客户需求定制;设备自带溢流保护装置，有效防止废液集满后倒流，确保气体管路安全。</w:t>
            </w:r>
          </w:p>
        </w:tc>
      </w:tr>
      <w:tr w14:paraId="6E72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504657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CFB93C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1815D04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val="en-US" w:eastAsia="zh-CN"/>
              </w:rPr>
              <w:t>5、需配置配套一次性引流袋可重复使用引流瓶底座架子。</w:t>
            </w:r>
          </w:p>
        </w:tc>
      </w:tr>
    </w:tbl>
    <w:p w14:paraId="424B539A">
      <w:pP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br w:type="page"/>
      </w:r>
    </w:p>
    <w:p w14:paraId="685B65FB">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（二）生命体征测量仪</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706"/>
        <w:gridCol w:w="7359"/>
      </w:tblGrid>
      <w:tr w14:paraId="7581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495CD5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743A0E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8" w:type="pct"/>
            <w:shd w:val="clear" w:color="auto" w:fill="auto"/>
            <w:vAlign w:val="center"/>
          </w:tcPr>
          <w:p w14:paraId="2EEBDDD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25B7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3CAB150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7A0DF61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sz w:val="22"/>
                <w:highlight w:val="none"/>
                <w:lang w:val="en-US" w:eastAsia="zh-CN"/>
              </w:rPr>
              <w:t>生命体征测量仪</w:t>
            </w:r>
          </w:p>
        </w:tc>
        <w:tc>
          <w:tcPr>
            <w:tcW w:w="4318" w:type="pct"/>
            <w:shd w:val="clear" w:color="000000" w:fill="FFFFFF"/>
            <w:vAlign w:val="top"/>
          </w:tcPr>
          <w:p w14:paraId="7001DDA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功能：</w:t>
            </w:r>
            <w:r>
              <w:rPr>
                <w:rFonts w:hint="eastAsia" w:ascii="宋体" w:hAnsi="宋体" w:eastAsia="宋体" w:cs="宋体"/>
                <w:color w:val="auto"/>
                <w:sz w:val="22"/>
                <w:szCs w:val="22"/>
                <w:highlight w:val="none"/>
              </w:rPr>
              <w:t>适合成人、小儿、新生儿全年龄段患者生命体征监测，支持点测或连续监测模式</w:t>
            </w:r>
            <w:r>
              <w:rPr>
                <w:rFonts w:hint="eastAsia" w:ascii="宋体" w:hAnsi="宋体" w:cs="宋体"/>
                <w:color w:val="auto"/>
                <w:sz w:val="22"/>
                <w:szCs w:val="22"/>
                <w:highlight w:val="none"/>
                <w:lang w:eastAsia="zh-CN"/>
              </w:rPr>
              <w:t>。</w:t>
            </w:r>
          </w:p>
        </w:tc>
      </w:tr>
      <w:tr w14:paraId="5F4D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7A8A8C0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01BF1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299D358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1、</w:t>
            </w:r>
            <w:r>
              <w:rPr>
                <w:rFonts w:hint="eastAsia" w:ascii="宋体" w:hAnsi="宋体" w:eastAsia="宋体" w:cs="宋体"/>
                <w:b/>
                <w:bCs/>
                <w:color w:val="auto"/>
                <w:sz w:val="22"/>
                <w:szCs w:val="22"/>
                <w:highlight w:val="none"/>
              </w:rPr>
              <w:t>10.1英寸TFT彩色触摸显示屏，1280×800分辨率，直观易操作</w:t>
            </w:r>
            <w:r>
              <w:rPr>
                <w:rFonts w:hint="eastAsia" w:ascii="宋体" w:hAnsi="宋体" w:eastAsia="宋体" w:cs="宋体"/>
                <w:b/>
                <w:bCs/>
                <w:color w:val="auto"/>
                <w:sz w:val="22"/>
                <w:szCs w:val="22"/>
                <w:highlight w:val="none"/>
                <w:lang w:eastAsia="zh-CN"/>
              </w:rPr>
              <w:t>。</w:t>
            </w:r>
          </w:p>
        </w:tc>
      </w:tr>
      <w:tr w14:paraId="4FEE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646519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3C4E1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0E6B186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2、</w:t>
            </w:r>
            <w:r>
              <w:rPr>
                <w:rFonts w:hint="eastAsia" w:ascii="宋体" w:hAnsi="宋体" w:eastAsia="宋体" w:cs="宋体"/>
                <w:b/>
                <w:bCs/>
                <w:color w:val="auto"/>
                <w:sz w:val="22"/>
                <w:szCs w:val="22"/>
                <w:highlight w:val="none"/>
              </w:rPr>
              <w:t>支持监测无创血压、血氧、脉搏、体温、呼气末二氧化碳等参数，支持多达30个可定制的手动输入参数</w:t>
            </w:r>
            <w:r>
              <w:rPr>
                <w:rFonts w:hint="eastAsia" w:ascii="宋体" w:hAnsi="宋体" w:eastAsia="宋体" w:cs="宋体"/>
                <w:b/>
                <w:bCs/>
                <w:color w:val="auto"/>
                <w:sz w:val="22"/>
                <w:szCs w:val="22"/>
                <w:highlight w:val="none"/>
                <w:lang w:eastAsia="zh-CN"/>
              </w:rPr>
              <w:t>。</w:t>
            </w:r>
          </w:p>
        </w:tc>
      </w:tr>
      <w:tr w14:paraId="490D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58F167B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87BC4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2185A76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3、</w:t>
            </w:r>
            <w:r>
              <w:rPr>
                <w:rFonts w:hint="eastAsia" w:ascii="宋体" w:hAnsi="宋体" w:eastAsia="宋体" w:cs="宋体"/>
                <w:b/>
                <w:bCs/>
                <w:color w:val="auto"/>
                <w:sz w:val="22"/>
                <w:szCs w:val="22"/>
                <w:highlight w:val="none"/>
              </w:rPr>
              <w:t>无创血压支持充气测量，15秒即可出值，支持血压平均值测量与直立性血压测量</w:t>
            </w:r>
            <w:r>
              <w:rPr>
                <w:rFonts w:hint="eastAsia" w:ascii="宋体" w:hAnsi="宋体" w:eastAsia="宋体" w:cs="宋体"/>
                <w:b/>
                <w:bCs/>
                <w:color w:val="auto"/>
                <w:sz w:val="22"/>
                <w:szCs w:val="22"/>
                <w:highlight w:val="none"/>
                <w:lang w:eastAsia="zh-CN"/>
              </w:rPr>
              <w:t>。</w:t>
            </w:r>
          </w:p>
        </w:tc>
      </w:tr>
      <w:tr w14:paraId="3159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BB9A9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0F0D1E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7036914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4、采用多种血氧技术，在运动和低灌注情况下，</w:t>
            </w:r>
            <w:r>
              <w:rPr>
                <w:rFonts w:hint="eastAsia" w:ascii="宋体" w:hAnsi="宋体" w:eastAsia="宋体" w:cs="宋体"/>
                <w:color w:val="auto"/>
                <w:sz w:val="22"/>
                <w:szCs w:val="22"/>
                <w:highlight w:val="none"/>
              </w:rPr>
              <w:t>显示PI</w:t>
            </w:r>
            <w:r>
              <w:rPr>
                <w:rFonts w:hint="eastAsia" w:ascii="宋体" w:hAnsi="宋体" w:eastAsia="宋体" w:cs="宋体"/>
                <w:color w:val="auto"/>
                <w:sz w:val="22"/>
                <w:szCs w:val="22"/>
                <w:highlight w:val="none"/>
                <w:shd w:val="clear" w:color="auto" w:fill="FFFFFF"/>
              </w:rPr>
              <w:t>血流灌注指数</w:t>
            </w:r>
            <w:r>
              <w:rPr>
                <w:rFonts w:hint="eastAsia" w:ascii="宋体" w:hAnsi="宋体" w:eastAsia="宋体" w:cs="宋体"/>
                <w:color w:val="auto"/>
                <w:sz w:val="22"/>
                <w:szCs w:val="22"/>
                <w:highlight w:val="none"/>
                <w:shd w:val="clear" w:color="auto" w:fill="FFFFFF"/>
                <w:lang w:eastAsia="zh-CN"/>
              </w:rPr>
              <w:t>。</w:t>
            </w:r>
          </w:p>
        </w:tc>
      </w:tr>
      <w:tr w14:paraId="62CC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AE1D8A6">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482351D7">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8" w:type="pct"/>
            <w:shd w:val="clear" w:color="000000" w:fill="FFFFFF"/>
            <w:vAlign w:val="top"/>
          </w:tcPr>
          <w:p w14:paraId="7792990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支持自定义工作模式，灵活调整应用科室、界面布局与参数设置，减少操作时间</w:t>
            </w:r>
            <w:r>
              <w:rPr>
                <w:rFonts w:hint="eastAsia" w:ascii="宋体" w:hAnsi="宋体" w:eastAsia="宋体" w:cs="宋体"/>
                <w:color w:val="auto"/>
                <w:sz w:val="22"/>
                <w:szCs w:val="22"/>
                <w:highlight w:val="none"/>
                <w:lang w:eastAsia="zh-CN"/>
              </w:rPr>
              <w:t>。</w:t>
            </w:r>
          </w:p>
        </w:tc>
      </w:tr>
      <w:tr w14:paraId="05C7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6AF08AB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371D333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16728551">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内置可充电锂电池，无需工具快速拆装，最高可支持不少于8小时供电，支持关机延迟</w:t>
            </w:r>
            <w:r>
              <w:rPr>
                <w:rFonts w:hint="eastAsia" w:ascii="宋体" w:hAnsi="宋体" w:eastAsia="宋体" w:cs="宋体"/>
                <w:color w:val="auto"/>
                <w:sz w:val="22"/>
                <w:szCs w:val="22"/>
                <w:highlight w:val="none"/>
                <w:lang w:eastAsia="zh-CN"/>
              </w:rPr>
              <w:t>。</w:t>
            </w:r>
          </w:p>
        </w:tc>
      </w:tr>
      <w:tr w14:paraId="6274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3BFE10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637CE2A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4F14096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可选内置热敏双通道记录仪，支持多种记录类型</w:t>
            </w:r>
            <w:r>
              <w:rPr>
                <w:rFonts w:hint="eastAsia" w:ascii="宋体" w:hAnsi="宋体" w:eastAsia="宋体" w:cs="宋体"/>
                <w:color w:val="auto"/>
                <w:sz w:val="22"/>
                <w:szCs w:val="22"/>
                <w:highlight w:val="none"/>
                <w:lang w:eastAsia="zh-CN"/>
              </w:rPr>
              <w:t>。</w:t>
            </w:r>
          </w:p>
        </w:tc>
      </w:tr>
      <w:tr w14:paraId="2482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CDA8BD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57727CC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67A90E4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8、</w:t>
            </w:r>
            <w:r>
              <w:rPr>
                <w:rFonts w:hint="eastAsia" w:ascii="宋体" w:hAnsi="宋体" w:eastAsia="宋体" w:cs="宋体"/>
                <w:color w:val="auto"/>
                <w:sz w:val="22"/>
                <w:szCs w:val="22"/>
                <w:highlight w:val="none"/>
              </w:rPr>
              <w:t>支持一维和二维扫描枪，通过USB 接口与监测仪相连</w:t>
            </w:r>
            <w:r>
              <w:rPr>
                <w:rFonts w:hint="eastAsia" w:ascii="宋体" w:hAnsi="宋体" w:eastAsia="宋体" w:cs="宋体"/>
                <w:color w:val="auto"/>
                <w:sz w:val="22"/>
                <w:szCs w:val="22"/>
                <w:highlight w:val="none"/>
                <w:lang w:eastAsia="zh-CN"/>
              </w:rPr>
              <w:t>。</w:t>
            </w:r>
          </w:p>
        </w:tc>
      </w:tr>
      <w:tr w14:paraId="2B3B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18B9AC2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F89542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16E0F0E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9、</w:t>
            </w:r>
            <w:r>
              <w:rPr>
                <w:rFonts w:hint="eastAsia" w:ascii="宋体" w:hAnsi="宋体" w:eastAsia="宋体" w:cs="宋体"/>
                <w:b/>
                <w:bCs/>
                <w:color w:val="auto"/>
                <w:sz w:val="22"/>
                <w:szCs w:val="22"/>
                <w:highlight w:val="none"/>
              </w:rPr>
              <w:t>具有EWS早期预警评分与图形化疼痛评分模板，同时支持自定义评分方法</w:t>
            </w:r>
            <w:r>
              <w:rPr>
                <w:rFonts w:hint="eastAsia" w:ascii="宋体" w:hAnsi="宋体" w:eastAsia="宋体" w:cs="宋体"/>
                <w:b/>
                <w:bCs/>
                <w:color w:val="auto"/>
                <w:sz w:val="22"/>
                <w:szCs w:val="22"/>
                <w:highlight w:val="none"/>
                <w:lang w:eastAsia="zh-CN"/>
              </w:rPr>
              <w:t>。</w:t>
            </w:r>
          </w:p>
        </w:tc>
      </w:tr>
      <w:tr w14:paraId="128F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0DC13B2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814794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4556087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10、</w:t>
            </w:r>
            <w:r>
              <w:rPr>
                <w:rFonts w:hint="eastAsia" w:ascii="宋体" w:hAnsi="宋体" w:eastAsia="宋体" w:cs="宋体"/>
                <w:color w:val="auto"/>
                <w:sz w:val="22"/>
                <w:szCs w:val="22"/>
                <w:highlight w:val="none"/>
              </w:rPr>
              <w:t>可选配CCHD筛查工具，作为新生儿严重型先心病的有效筛查手段</w:t>
            </w:r>
            <w:r>
              <w:rPr>
                <w:rFonts w:hint="eastAsia" w:ascii="宋体" w:hAnsi="宋体" w:eastAsia="宋体" w:cs="宋体"/>
                <w:color w:val="auto"/>
                <w:sz w:val="22"/>
                <w:szCs w:val="22"/>
                <w:highlight w:val="none"/>
                <w:lang w:eastAsia="zh-CN"/>
              </w:rPr>
              <w:t>。</w:t>
            </w:r>
          </w:p>
        </w:tc>
      </w:tr>
      <w:tr w14:paraId="075A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2FD3368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DE4AA5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3C853AD0">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11、</w:t>
            </w:r>
            <w:r>
              <w:rPr>
                <w:rFonts w:hint="eastAsia" w:ascii="宋体" w:hAnsi="宋体" w:eastAsia="宋体" w:cs="宋体"/>
                <w:color w:val="auto"/>
                <w:sz w:val="22"/>
                <w:szCs w:val="22"/>
                <w:highlight w:val="none"/>
              </w:rPr>
              <w:t>最多支持200个事件回顾，点测模式最多支持5000组数据回顾，连续监测模式最多支持240小时数据回顾</w:t>
            </w:r>
            <w:r>
              <w:rPr>
                <w:rFonts w:hint="eastAsia" w:ascii="宋体" w:hAnsi="宋体" w:eastAsia="宋体" w:cs="宋体"/>
                <w:color w:val="auto"/>
                <w:sz w:val="22"/>
                <w:szCs w:val="22"/>
                <w:highlight w:val="none"/>
                <w:lang w:eastAsia="zh-CN"/>
              </w:rPr>
              <w:t>。</w:t>
            </w:r>
          </w:p>
        </w:tc>
      </w:tr>
      <w:tr w14:paraId="5070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34BEF7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5ABCD1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42FF834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12、</w:t>
            </w:r>
            <w:r>
              <w:rPr>
                <w:rFonts w:hint="eastAsia" w:ascii="宋体" w:hAnsi="宋体" w:eastAsia="宋体" w:cs="宋体"/>
                <w:color w:val="auto"/>
                <w:sz w:val="22"/>
                <w:szCs w:val="22"/>
                <w:highlight w:val="none"/>
              </w:rPr>
              <w:t>可通过有线网络和无线网络无缝集成医院信息系统，通过HL7连接医院EMR系统</w:t>
            </w:r>
            <w:r>
              <w:rPr>
                <w:rFonts w:hint="eastAsia" w:ascii="宋体" w:hAnsi="宋体" w:eastAsia="宋体" w:cs="宋体"/>
                <w:color w:val="auto"/>
                <w:sz w:val="22"/>
                <w:szCs w:val="22"/>
                <w:highlight w:val="none"/>
                <w:lang w:eastAsia="zh-CN"/>
              </w:rPr>
              <w:t>。</w:t>
            </w:r>
          </w:p>
        </w:tc>
      </w:tr>
      <w:tr w14:paraId="6E0D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5160518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5CED77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5DE3CB2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13、</w:t>
            </w:r>
            <w:r>
              <w:rPr>
                <w:rFonts w:hint="eastAsia" w:ascii="宋体" w:hAnsi="宋体" w:eastAsia="宋体" w:cs="宋体"/>
                <w:color w:val="auto"/>
                <w:sz w:val="22"/>
                <w:szCs w:val="22"/>
                <w:highlight w:val="none"/>
              </w:rPr>
              <w:t>能够与中央监护站集成，同时查看连续监测与点测数据</w:t>
            </w:r>
            <w:r>
              <w:rPr>
                <w:rFonts w:hint="eastAsia" w:ascii="宋体" w:hAnsi="宋体" w:eastAsia="宋体" w:cs="宋体"/>
                <w:color w:val="auto"/>
                <w:sz w:val="22"/>
                <w:szCs w:val="22"/>
                <w:highlight w:val="none"/>
                <w:lang w:eastAsia="zh-CN"/>
              </w:rPr>
              <w:t>。</w:t>
            </w:r>
          </w:p>
        </w:tc>
      </w:tr>
      <w:tr w14:paraId="2616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67638FA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662466A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17E722C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sz w:val="22"/>
                <w:szCs w:val="22"/>
                <w:highlight w:val="none"/>
                <w:lang w:val="en-US" w:eastAsia="zh-CN"/>
              </w:rPr>
              <w:t>14、</w:t>
            </w:r>
            <w:r>
              <w:rPr>
                <w:rFonts w:hint="eastAsia" w:ascii="宋体" w:hAnsi="宋体" w:eastAsia="宋体" w:cs="宋体"/>
                <w:color w:val="auto"/>
                <w:sz w:val="22"/>
                <w:szCs w:val="22"/>
                <w:highlight w:val="none"/>
              </w:rPr>
              <w:t>支持设备在线维护，直观查看设备利用情况，最大限度地提高设备利用率</w:t>
            </w:r>
            <w:r>
              <w:rPr>
                <w:rFonts w:hint="eastAsia" w:ascii="宋体" w:hAnsi="宋体" w:eastAsia="宋体" w:cs="宋体"/>
                <w:color w:val="auto"/>
                <w:sz w:val="22"/>
                <w:szCs w:val="22"/>
                <w:highlight w:val="none"/>
                <w:lang w:eastAsia="zh-CN"/>
              </w:rPr>
              <w:t>。</w:t>
            </w:r>
          </w:p>
        </w:tc>
      </w:tr>
      <w:tr w14:paraId="3E20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DE9CF8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3CE3F62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78F391E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主机外壳采用无缝设计与优质选材，IPX2级防水，支持</w:t>
            </w:r>
            <w:r>
              <w:rPr>
                <w:rFonts w:hint="eastAsia" w:ascii="宋体" w:hAnsi="宋体" w:eastAsia="宋体" w:cs="宋体"/>
                <w:b/>
                <w:bCs/>
                <w:color w:val="auto"/>
                <w:sz w:val="22"/>
                <w:szCs w:val="22"/>
                <w:highlight w:val="none"/>
                <w:lang w:val="en-US" w:eastAsia="zh-CN"/>
              </w:rPr>
              <w:t>医院常用</w:t>
            </w:r>
            <w:r>
              <w:rPr>
                <w:rFonts w:hint="eastAsia" w:ascii="宋体" w:hAnsi="宋体" w:eastAsia="宋体" w:cs="宋体"/>
                <w:b/>
                <w:bCs/>
                <w:color w:val="auto"/>
                <w:sz w:val="22"/>
                <w:szCs w:val="22"/>
                <w:highlight w:val="none"/>
              </w:rPr>
              <w:t>清洁消毒剂，易于清洁消毒</w:t>
            </w:r>
            <w:r>
              <w:rPr>
                <w:rFonts w:hint="eastAsia" w:ascii="宋体" w:hAnsi="宋体" w:eastAsia="宋体" w:cs="宋体"/>
                <w:b/>
                <w:bCs/>
                <w:color w:val="auto"/>
                <w:sz w:val="22"/>
                <w:szCs w:val="22"/>
                <w:highlight w:val="none"/>
                <w:lang w:eastAsia="zh-CN"/>
              </w:rPr>
              <w:t>。</w:t>
            </w:r>
          </w:p>
        </w:tc>
      </w:tr>
      <w:tr w14:paraId="0A2D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67" w:type="pct"/>
            <w:vMerge w:val="continue"/>
            <w:shd w:val="clear" w:color="auto" w:fill="auto"/>
            <w:vAlign w:val="center"/>
          </w:tcPr>
          <w:p w14:paraId="38491EB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25793B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2DBFB5B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val="en-US" w:eastAsia="zh-CN"/>
              </w:rPr>
              <w:t>★</w:t>
            </w:r>
            <w:r>
              <w:rPr>
                <w:rFonts w:hint="eastAsia" w:ascii="宋体" w:hAnsi="宋体" w:eastAsia="宋体" w:cs="宋体"/>
                <w:b/>
                <w:bCs/>
                <w:color w:val="auto"/>
                <w:kern w:val="0"/>
                <w:sz w:val="22"/>
                <w:highlight w:val="none"/>
              </w:rPr>
              <w:t>配置清单</w:t>
            </w:r>
            <w:r>
              <w:rPr>
                <w:rFonts w:hint="eastAsia" w:ascii="宋体" w:hAnsi="宋体" w:eastAsia="宋体" w:cs="宋体"/>
                <w:b/>
                <w:bCs/>
                <w:color w:val="auto"/>
                <w:kern w:val="0"/>
                <w:sz w:val="22"/>
                <w:highlight w:val="none"/>
                <w:lang w:eastAsia="zh-CN"/>
              </w:rPr>
              <w:t>：</w:t>
            </w:r>
          </w:p>
          <w:p w14:paraId="602D6F3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1、主机</w:t>
            </w:r>
            <w:r>
              <w:rPr>
                <w:rFonts w:hint="eastAsia" w:ascii="宋体" w:hAnsi="宋体" w:eastAsia="宋体" w:cs="宋体"/>
                <w:b/>
                <w:bCs/>
                <w:color w:val="auto"/>
                <w:kern w:val="0"/>
                <w:sz w:val="22"/>
                <w:highlight w:val="none"/>
                <w:lang w:eastAsia="zh-CN"/>
              </w:rPr>
              <w:tab/>
            </w:r>
            <w:r>
              <w:rPr>
                <w:rFonts w:hint="eastAsia" w:ascii="宋体" w:hAnsi="宋体" w:eastAsia="宋体" w:cs="宋体"/>
                <w:b/>
                <w:bCs/>
                <w:color w:val="auto"/>
                <w:kern w:val="0"/>
                <w:sz w:val="22"/>
                <w:highlight w:val="none"/>
                <w:lang w:val="en-US" w:eastAsia="zh-CN"/>
              </w:rPr>
              <w:t xml:space="preserve">  </w:t>
            </w:r>
            <w:r>
              <w:rPr>
                <w:rFonts w:hint="eastAsia" w:ascii="宋体" w:hAnsi="宋体" w:eastAsia="宋体" w:cs="宋体"/>
                <w:b/>
                <w:bCs/>
                <w:color w:val="auto"/>
                <w:kern w:val="0"/>
                <w:sz w:val="22"/>
                <w:highlight w:val="none"/>
                <w:lang w:eastAsia="zh-CN"/>
              </w:rPr>
              <w:t>1台；</w:t>
            </w:r>
          </w:p>
          <w:p w14:paraId="6A9BDE5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2、血压附件</w:t>
            </w:r>
            <w:r>
              <w:rPr>
                <w:rFonts w:hint="eastAsia" w:ascii="宋体" w:hAnsi="宋体" w:eastAsia="宋体" w:cs="宋体"/>
                <w:b/>
                <w:bCs/>
                <w:color w:val="auto"/>
                <w:kern w:val="0"/>
                <w:sz w:val="22"/>
                <w:highlight w:val="none"/>
                <w:lang w:val="en-US" w:eastAsia="zh-CN"/>
              </w:rPr>
              <w:t xml:space="preserve">  </w:t>
            </w:r>
            <w:r>
              <w:rPr>
                <w:rFonts w:hint="eastAsia" w:ascii="宋体" w:hAnsi="宋体" w:eastAsia="宋体" w:cs="宋体"/>
                <w:b/>
                <w:bCs/>
                <w:color w:val="auto"/>
                <w:kern w:val="0"/>
                <w:sz w:val="22"/>
                <w:highlight w:val="none"/>
                <w:lang w:eastAsia="zh-CN"/>
              </w:rPr>
              <w:t>1套；</w:t>
            </w:r>
          </w:p>
          <w:p w14:paraId="341BDB0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3、血氧附件</w:t>
            </w:r>
            <w:r>
              <w:rPr>
                <w:rFonts w:hint="eastAsia" w:ascii="宋体" w:hAnsi="宋体" w:eastAsia="宋体" w:cs="宋体"/>
                <w:b/>
                <w:bCs/>
                <w:color w:val="auto"/>
                <w:kern w:val="0"/>
                <w:sz w:val="22"/>
                <w:highlight w:val="none"/>
                <w:lang w:eastAsia="zh-CN"/>
              </w:rPr>
              <w:tab/>
            </w:r>
            <w:r>
              <w:rPr>
                <w:rFonts w:hint="eastAsia" w:ascii="宋体" w:hAnsi="宋体" w:eastAsia="宋体" w:cs="宋体"/>
                <w:b/>
                <w:bCs/>
                <w:color w:val="auto"/>
                <w:kern w:val="0"/>
                <w:sz w:val="22"/>
                <w:highlight w:val="none"/>
                <w:lang w:val="en-US" w:eastAsia="zh-CN"/>
              </w:rPr>
              <w:t xml:space="preserve">  </w:t>
            </w:r>
            <w:r>
              <w:rPr>
                <w:rFonts w:hint="eastAsia" w:ascii="宋体" w:hAnsi="宋体" w:eastAsia="宋体" w:cs="宋体"/>
                <w:b/>
                <w:bCs/>
                <w:color w:val="auto"/>
                <w:kern w:val="0"/>
                <w:sz w:val="22"/>
                <w:highlight w:val="none"/>
                <w:lang w:eastAsia="zh-CN"/>
              </w:rPr>
              <w:t>1套；</w:t>
            </w:r>
          </w:p>
          <w:p w14:paraId="48DE5F7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4、耳温枪附件</w:t>
            </w:r>
            <w:r>
              <w:rPr>
                <w:rFonts w:hint="eastAsia" w:ascii="宋体" w:hAnsi="宋体" w:eastAsia="宋体" w:cs="宋体"/>
                <w:b/>
                <w:bCs/>
                <w:color w:val="auto"/>
                <w:kern w:val="0"/>
                <w:sz w:val="22"/>
                <w:highlight w:val="none"/>
                <w:lang w:eastAsia="zh-CN"/>
              </w:rPr>
              <w:tab/>
            </w:r>
            <w:r>
              <w:rPr>
                <w:rFonts w:hint="eastAsia" w:ascii="宋体" w:hAnsi="宋体" w:eastAsia="宋体" w:cs="宋体"/>
                <w:b/>
                <w:bCs/>
                <w:color w:val="auto"/>
                <w:kern w:val="0"/>
                <w:sz w:val="22"/>
                <w:highlight w:val="none"/>
                <w:lang w:eastAsia="zh-CN"/>
              </w:rPr>
              <w:t>1套；</w:t>
            </w:r>
          </w:p>
          <w:p w14:paraId="0F4F6B5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5、台车或者上墙支架</w:t>
            </w:r>
            <w:r>
              <w:rPr>
                <w:rFonts w:hint="eastAsia" w:ascii="宋体" w:hAnsi="宋体" w:eastAsia="宋体" w:cs="宋体"/>
                <w:b/>
                <w:bCs/>
                <w:color w:val="auto"/>
                <w:kern w:val="0"/>
                <w:sz w:val="22"/>
                <w:highlight w:val="none"/>
                <w:lang w:val="en-US" w:eastAsia="zh-CN"/>
              </w:rPr>
              <w:t xml:space="preserve">  </w:t>
            </w:r>
            <w:r>
              <w:rPr>
                <w:rFonts w:hint="eastAsia" w:ascii="宋体" w:hAnsi="宋体" w:eastAsia="宋体" w:cs="宋体"/>
                <w:b/>
                <w:bCs/>
                <w:color w:val="auto"/>
                <w:kern w:val="0"/>
                <w:sz w:val="22"/>
                <w:highlight w:val="none"/>
                <w:lang w:eastAsia="zh-CN"/>
              </w:rPr>
              <w:t>1套；</w:t>
            </w:r>
          </w:p>
          <w:p w14:paraId="6E1712C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6、锂电池</w:t>
            </w:r>
            <w:r>
              <w:rPr>
                <w:rFonts w:hint="eastAsia" w:ascii="宋体" w:hAnsi="宋体" w:eastAsia="宋体" w:cs="宋体"/>
                <w:b/>
                <w:bCs/>
                <w:color w:val="auto"/>
                <w:kern w:val="0"/>
                <w:sz w:val="22"/>
                <w:highlight w:val="none"/>
                <w:lang w:eastAsia="zh-CN"/>
              </w:rPr>
              <w:tab/>
            </w:r>
            <w:r>
              <w:rPr>
                <w:rFonts w:hint="eastAsia" w:ascii="宋体" w:hAnsi="宋体" w:eastAsia="宋体" w:cs="宋体"/>
                <w:b/>
                <w:bCs/>
                <w:color w:val="auto"/>
                <w:kern w:val="0"/>
                <w:sz w:val="22"/>
                <w:highlight w:val="none"/>
                <w:lang w:eastAsia="zh-CN"/>
              </w:rPr>
              <w:t>1块；</w:t>
            </w:r>
          </w:p>
          <w:p w14:paraId="4E46C37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color w:val="auto"/>
                <w:kern w:val="0"/>
                <w:sz w:val="22"/>
                <w:highlight w:val="none"/>
                <w:lang w:eastAsia="zh-CN"/>
              </w:rPr>
            </w:pPr>
            <w:r>
              <w:rPr>
                <w:rFonts w:hint="eastAsia" w:ascii="宋体" w:hAnsi="宋体" w:eastAsia="宋体" w:cs="宋体"/>
                <w:b/>
                <w:bCs/>
                <w:color w:val="auto"/>
                <w:kern w:val="0"/>
                <w:sz w:val="22"/>
                <w:highlight w:val="none"/>
                <w:lang w:eastAsia="zh-CN"/>
              </w:rPr>
              <w:t>7、电源线</w:t>
            </w:r>
            <w:r>
              <w:rPr>
                <w:rFonts w:hint="eastAsia" w:ascii="宋体" w:hAnsi="宋体" w:eastAsia="宋体" w:cs="宋体"/>
                <w:b/>
                <w:bCs/>
                <w:color w:val="auto"/>
                <w:kern w:val="0"/>
                <w:sz w:val="22"/>
                <w:highlight w:val="none"/>
                <w:lang w:eastAsia="zh-CN"/>
              </w:rPr>
              <w:tab/>
            </w:r>
            <w:r>
              <w:rPr>
                <w:rFonts w:hint="eastAsia" w:ascii="宋体" w:hAnsi="宋体" w:eastAsia="宋体" w:cs="宋体"/>
                <w:b/>
                <w:bCs/>
                <w:color w:val="auto"/>
                <w:kern w:val="0"/>
                <w:sz w:val="22"/>
                <w:highlight w:val="none"/>
                <w:lang w:eastAsia="zh-CN"/>
              </w:rPr>
              <w:t>1条；</w:t>
            </w:r>
          </w:p>
          <w:p w14:paraId="0CB0E18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bCs/>
                <w:color w:val="auto"/>
                <w:kern w:val="0"/>
                <w:sz w:val="22"/>
                <w:highlight w:val="none"/>
                <w:lang w:eastAsia="zh-CN"/>
              </w:rPr>
              <w:t xml:space="preserve">8、耳温帽 </w:t>
            </w:r>
            <w:r>
              <w:rPr>
                <w:rFonts w:hint="eastAsia" w:ascii="宋体" w:hAnsi="宋体" w:eastAsia="宋体" w:cs="宋体"/>
                <w:b/>
                <w:bCs/>
                <w:color w:val="auto"/>
                <w:kern w:val="0"/>
                <w:sz w:val="22"/>
                <w:highlight w:val="none"/>
                <w:lang w:val="en-US" w:eastAsia="zh-CN"/>
              </w:rPr>
              <w:t xml:space="preserve">  </w:t>
            </w:r>
            <w:r>
              <w:rPr>
                <w:rFonts w:hint="eastAsia" w:ascii="宋体" w:hAnsi="宋体" w:eastAsia="宋体" w:cs="宋体"/>
                <w:b/>
                <w:bCs/>
                <w:color w:val="auto"/>
                <w:kern w:val="0"/>
                <w:sz w:val="22"/>
                <w:highlight w:val="none"/>
                <w:lang w:eastAsia="zh-CN"/>
              </w:rPr>
              <w:t>4000个。</w:t>
            </w:r>
          </w:p>
        </w:tc>
      </w:tr>
    </w:tbl>
    <w:p w14:paraId="26394556">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（三）输液泵</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706"/>
        <w:gridCol w:w="7358"/>
      </w:tblGrid>
      <w:tr w14:paraId="4D0D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1C16599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5EBF988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7" w:type="pct"/>
            <w:shd w:val="clear" w:color="auto" w:fill="auto"/>
            <w:vAlign w:val="center"/>
          </w:tcPr>
          <w:p w14:paraId="27BC2FB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2FFE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796FF93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24DB686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输液泵</w:t>
            </w:r>
          </w:p>
        </w:tc>
        <w:tc>
          <w:tcPr>
            <w:tcW w:w="4317" w:type="pct"/>
            <w:shd w:val="clear" w:color="auto" w:fill="auto"/>
            <w:vAlign w:val="center"/>
          </w:tcPr>
          <w:p w14:paraId="2D62F4F4">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1、支持输血功能，支持临床常用输血管路，无需专用输血管路(“支持输血功能”需提供产品说明书或检测报告或技术白皮书或注册证附页的详细技术参数清单，并对相关内容进行标注)。</w:t>
            </w:r>
          </w:p>
        </w:tc>
      </w:tr>
      <w:tr w14:paraId="57E1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04FD83F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14962CC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0464718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2、全自动止液夹，安装或取出输液管时，无需任何操作，止液夹可自动关闭或打开。</w:t>
            </w:r>
          </w:p>
        </w:tc>
      </w:tr>
      <w:tr w14:paraId="7282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00B8B4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EBFDA0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4CF72B20">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3、报警时可通过示意图片直观提示报警信息。</w:t>
            </w:r>
          </w:p>
        </w:tc>
      </w:tr>
      <w:tr w14:paraId="160C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4B9B832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AE19FB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0F521234">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4、无需滴数传感器，泵可自动识别空瓶状态并报警。</w:t>
            </w:r>
          </w:p>
        </w:tc>
      </w:tr>
      <w:tr w14:paraId="775B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67" w:type="pct"/>
            <w:vMerge w:val="continue"/>
            <w:shd w:val="clear" w:color="auto" w:fill="auto"/>
            <w:vAlign w:val="center"/>
          </w:tcPr>
          <w:p w14:paraId="613A56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121BA88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0886442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5、配固定设备的可移动架。</w:t>
            </w:r>
          </w:p>
        </w:tc>
      </w:tr>
      <w:tr w14:paraId="2263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67" w:type="pct"/>
            <w:vMerge w:val="continue"/>
            <w:shd w:val="clear" w:color="auto" w:fill="auto"/>
            <w:vAlign w:val="center"/>
          </w:tcPr>
          <w:p w14:paraId="487199A1">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4572AEBB">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7" w:type="pct"/>
            <w:shd w:val="clear" w:color="auto" w:fill="auto"/>
            <w:vAlign w:val="center"/>
          </w:tcPr>
          <w:p w14:paraId="7BF2371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6、流速控制范围需包含0.1-2000ml/h；精度≤5%。</w:t>
            </w:r>
          </w:p>
        </w:tc>
      </w:tr>
    </w:tbl>
    <w:p w14:paraId="5703EE91">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（四）注射泵</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706"/>
        <w:gridCol w:w="7358"/>
      </w:tblGrid>
      <w:tr w14:paraId="0D9A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1CDDCC4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26E6369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7" w:type="pct"/>
            <w:shd w:val="clear" w:color="auto" w:fill="auto"/>
            <w:vAlign w:val="center"/>
          </w:tcPr>
          <w:p w14:paraId="294F67F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2470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6C8319F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78FB19B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注射泵</w:t>
            </w:r>
          </w:p>
        </w:tc>
        <w:tc>
          <w:tcPr>
            <w:tcW w:w="4317" w:type="pct"/>
            <w:shd w:val="clear" w:color="auto" w:fill="auto"/>
            <w:vAlign w:val="center"/>
          </w:tcPr>
          <w:p w14:paraId="788B1E1A">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1、注射精度≤±1.8%，机械精度≤±0.5%。</w:t>
            </w:r>
          </w:p>
        </w:tc>
      </w:tr>
      <w:tr w14:paraId="0DEE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04CFF92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9F9363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5422E3CC">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2、速率范围：0.01-2300ml/h, 最小步进0.01ml/h。</w:t>
            </w:r>
          </w:p>
        </w:tc>
      </w:tr>
      <w:tr w14:paraId="5BBC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7C9C34F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0FFE6C7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4345672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3、可自动统计四种累计量：24h累计量、最近累计量、自定义时间段累计量、定时间隔累计量。</w:t>
            </w:r>
          </w:p>
        </w:tc>
      </w:tr>
      <w:tr w14:paraId="7F40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64755D5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160C34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1B5FE0E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4、不小于3.5英寸彩色显示屏，电容触摸屏技术，支持上下左右滑动操作。</w:t>
            </w:r>
          </w:p>
        </w:tc>
      </w:tr>
      <w:tr w14:paraId="2D51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267" w:type="pct"/>
            <w:vMerge w:val="continue"/>
            <w:shd w:val="clear" w:color="auto" w:fill="auto"/>
            <w:vAlign w:val="center"/>
          </w:tcPr>
          <w:p w14:paraId="5D9491D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0C9F03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auto" w:fill="auto"/>
            <w:vAlign w:val="center"/>
          </w:tcPr>
          <w:p w14:paraId="3DE2813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5、具备阻塞后自动重启输液功能，短暂性阻塞触发报警后，泵检测到阻塞压力缓解时，无需人为干预，泵自动重新启动输液。</w:t>
            </w:r>
          </w:p>
        </w:tc>
      </w:tr>
      <w:tr w14:paraId="0B45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267" w:type="pct"/>
            <w:vMerge w:val="continue"/>
            <w:shd w:val="clear" w:color="auto" w:fill="auto"/>
            <w:vAlign w:val="center"/>
          </w:tcPr>
          <w:p w14:paraId="161F2677">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08FAC33C">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7" w:type="pct"/>
            <w:shd w:val="clear" w:color="auto" w:fill="auto"/>
            <w:vAlign w:val="center"/>
          </w:tcPr>
          <w:p w14:paraId="26753F9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6.配固定设备的可移动架。</w:t>
            </w:r>
          </w:p>
        </w:tc>
      </w:tr>
      <w:tr w14:paraId="58D1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267" w:type="pct"/>
            <w:vMerge w:val="continue"/>
            <w:shd w:val="clear" w:color="auto" w:fill="auto"/>
            <w:vAlign w:val="center"/>
          </w:tcPr>
          <w:p w14:paraId="3EFF183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B91BEF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7" w:type="pct"/>
            <w:shd w:val="clear" w:color="auto" w:fill="auto"/>
            <w:vAlign w:val="center"/>
          </w:tcPr>
          <w:p w14:paraId="1E04847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7.自动识别注射器的种类：10ml、20ml、50ml。</w:t>
            </w:r>
          </w:p>
        </w:tc>
      </w:tr>
    </w:tbl>
    <w:p w14:paraId="3D210FDA">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（五）床单位空气消毒机</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706"/>
        <w:gridCol w:w="7359"/>
      </w:tblGrid>
      <w:tr w14:paraId="5ED0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32C9370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3EC2BC8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8" w:type="pct"/>
            <w:shd w:val="clear" w:color="auto" w:fill="auto"/>
            <w:vAlign w:val="center"/>
          </w:tcPr>
          <w:p w14:paraId="11CE912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7BCB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64F2ED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11ACBB8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床单位空气消毒机</w:t>
            </w:r>
          </w:p>
        </w:tc>
        <w:tc>
          <w:tcPr>
            <w:tcW w:w="4318" w:type="pct"/>
            <w:shd w:val="clear" w:color="000000" w:fill="FFFFFF"/>
            <w:vAlign w:val="top"/>
          </w:tcPr>
          <w:p w14:paraId="7A8DAC6C">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功能：主要使用高浓度臭氧气体以半封闭增压渗透方式对医院、疗养院、宾馆等单位的床褥、床垫、枕芯等用品进行消毒。</w:t>
            </w:r>
          </w:p>
        </w:tc>
      </w:tr>
      <w:tr w14:paraId="20C0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65F22E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5CB0C5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top"/>
          </w:tcPr>
          <w:p w14:paraId="49C2A7F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1、大气压力：86kPa～106kPa。</w:t>
            </w:r>
          </w:p>
        </w:tc>
      </w:tr>
      <w:tr w14:paraId="48FD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70A1D0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EABEC6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top"/>
          </w:tcPr>
          <w:p w14:paraId="5A9CE10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2、噪声：＜65dB(A)。</w:t>
            </w:r>
          </w:p>
        </w:tc>
      </w:tr>
      <w:tr w14:paraId="06BB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05AF9A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14F5AEE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top"/>
          </w:tcPr>
          <w:p w14:paraId="226E714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3、采用触摸按键、高亮彩屏、可直观显示各种功能、状态，操作简便。</w:t>
            </w:r>
          </w:p>
        </w:tc>
      </w:tr>
      <w:tr w14:paraId="7167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2C3F49D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4AE1690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top"/>
          </w:tcPr>
          <w:p w14:paraId="089230C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▲4、“普通消毒”、“密封消毒”、“特殊消毒”、“单独抽解”四种操作模式可供选择（提供产品说明书）。</w:t>
            </w:r>
          </w:p>
        </w:tc>
      </w:tr>
      <w:tr w14:paraId="098D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979241D">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6609A872">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8" w:type="pct"/>
            <w:shd w:val="clear" w:color="auto" w:fill="auto"/>
            <w:vAlign w:val="top"/>
          </w:tcPr>
          <w:p w14:paraId="6DBC1B0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5、采用残留臭氧解析专利技术，无二次污染。</w:t>
            </w:r>
          </w:p>
        </w:tc>
      </w:tr>
      <w:tr w14:paraId="259F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0B9469E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2EFEE9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top"/>
          </w:tcPr>
          <w:p w14:paraId="3159760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6、“解析”功能，迅速解析残余臭氧，提高病床使用率。</w:t>
            </w:r>
          </w:p>
        </w:tc>
      </w:tr>
      <w:tr w14:paraId="5B22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2C371B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F2D032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top"/>
          </w:tcPr>
          <w:p w14:paraId="5269610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7、两套独立的工作系统可同时对两套床单位消毒，可分别控制。</w:t>
            </w:r>
          </w:p>
        </w:tc>
      </w:tr>
      <w:tr w14:paraId="0541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B3CF65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23C82B7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top"/>
          </w:tcPr>
          <w:p w14:paraId="2DE2567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8、具有“抽真空”功能。</w:t>
            </w:r>
          </w:p>
        </w:tc>
      </w:tr>
      <w:tr w14:paraId="0AFE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62F0E0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F6BA38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top"/>
          </w:tcPr>
          <w:p w14:paraId="6CDD77A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9、采用钛铬臭氧发生器。</w:t>
            </w:r>
          </w:p>
        </w:tc>
      </w:tr>
      <w:tr w14:paraId="2983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020F98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306A68A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736FF87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10、消毒效果（投标时需提供检验检测报告，检验检测报告要求：①由第三方检验检测机构出具并加盖（或带有）CMA标志的检验检测报告扫描件，原件备查；②上述检验检测报告在全国认证认可信息公共服务平台（认e云）（http://cx.cnca.cn/）的信息查询记录截图。如检验检测报告中明确备注说明相关检验检测项不在检验检测机构CMA资质许可（认定）范围内的，不符合招标文件要求）</w:t>
            </w:r>
          </w:p>
          <w:p w14:paraId="6E32B8E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(1)按“密封消毒”键启动机器工作一个固定周期（抽解10 min，臭氧气体注入 30 min），停机后继续作用30 min，对染于载体布片上的大肠杆菌、铜绿假单胞菌、金黄色葡萄球菌、白色念珠菌的平均杀灭对数值均＞3.00</w:t>
            </w:r>
          </w:p>
          <w:p w14:paraId="254D4F47">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(2)按“普通消毒”键启动机器工作一个固定周期（臭氧气体注入25 min），停机后继续作用30 min，对染于载体布片上的大肠杆菌、铜绿假单胞菌、金黄色葡萄球菌、白色念珠菌的平均杀灭对数值均＞3.00。</w:t>
            </w:r>
          </w:p>
        </w:tc>
      </w:tr>
      <w:tr w14:paraId="475F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5A7FAC6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DDEE85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1EB9611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11、臭氧泄漏量≤0.0039mg/m3（投标时需提供检验检测报告，注：对应参数在检验检测报告中进行标注，原件备查。检验检测报告要求：①由第三方检验检测机构出具并加盖（或带有）CMA标志的检验检测报告扫描件，原件备查；②上述检验检测报告在全国认证认可信息公共服务平台（认e云）（http://cx.cnca.cn/）的信息查询记录截图。如检验检测报告中明确备注说明相关检验检测项不在检验检测机构CMA资质许可（认定）范围内的，不符合招标文件要求）。</w:t>
            </w:r>
          </w:p>
        </w:tc>
      </w:tr>
      <w:tr w14:paraId="6A7E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4C0723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0331A45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412366E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sz w:val="22"/>
                <w:szCs w:val="22"/>
                <w:highlight w:val="none"/>
                <w:lang w:val="en-US" w:eastAsia="zh-CN"/>
              </w:rPr>
              <w:t>▲12、臭氧浓度≤900mg/m3（投标时需提供检验检测报告，检验检测报告要求：①由第三方检验检测机构出具并加盖（或带有）CMA标志的检验检测报告扫描件，原件备查；②上述检验检测报告在全国认证认可信息公共服务平台（认e云）（http://cx.cnca.cn/）的信息查询记录截图。如检验检测报告中明确备注说明相关检验检测项不在检验检测机构CMA资质许可（认定）范围内的，不符合招标文件要求）。</w:t>
            </w:r>
          </w:p>
        </w:tc>
      </w:tr>
      <w:tr w14:paraId="1372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267" w:type="pct"/>
            <w:vMerge w:val="continue"/>
            <w:shd w:val="clear" w:color="auto" w:fill="auto"/>
            <w:vAlign w:val="center"/>
          </w:tcPr>
          <w:p w14:paraId="76B194F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61C31BC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3B5EEE6B">
            <w:pPr>
              <w:widowControl/>
              <w:jc w:val="left"/>
              <w:rPr>
                <w:rFonts w:hint="eastAsia" w:ascii="宋体" w:hAnsi="宋体" w:cs="宋体"/>
                <w:b/>
                <w:bCs/>
                <w:color w:val="auto"/>
                <w:kern w:val="0"/>
                <w:sz w:val="22"/>
                <w:highlight w:val="none"/>
                <w:lang w:val="en-US" w:eastAsia="zh-CN"/>
              </w:rPr>
            </w:pPr>
            <w:r>
              <w:rPr>
                <w:rFonts w:hint="eastAsia" w:ascii="宋体" w:hAnsi="宋体" w:cs="宋体"/>
                <w:b/>
                <w:bCs/>
                <w:color w:val="auto"/>
                <w:kern w:val="0"/>
                <w:sz w:val="22"/>
                <w:highlight w:val="none"/>
                <w:lang w:val="en-US" w:eastAsia="zh-CN"/>
              </w:rPr>
              <w:t>★</w:t>
            </w:r>
            <w:r>
              <w:rPr>
                <w:rFonts w:hint="eastAsia" w:ascii="宋体" w:hAnsi="宋体" w:cs="宋体"/>
                <w:b/>
                <w:bCs/>
                <w:color w:val="auto"/>
                <w:kern w:val="0"/>
                <w:sz w:val="22"/>
                <w:highlight w:val="none"/>
              </w:rPr>
              <w:t>配置清单</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3"/>
            </w:tblGrid>
            <w:tr w14:paraId="31E7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2A9445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1、</w:t>
                  </w:r>
                  <w:r>
                    <w:rPr>
                      <w:rFonts w:hint="eastAsia" w:ascii="宋体" w:hAnsi="宋体" w:eastAsia="宋体" w:cs="宋体"/>
                      <w:color w:val="auto"/>
                      <w:sz w:val="21"/>
                      <w:szCs w:val="21"/>
                      <w:highlight w:val="none"/>
                      <w:lang w:eastAsia="zh-CN"/>
                    </w:rPr>
                    <w:t>床单位臭氧消毒机</w:t>
                  </w:r>
                  <w:r>
                    <w:rPr>
                      <w:rFonts w:hint="eastAsia" w:ascii="宋体" w:hAnsi="宋体" w:eastAsia="宋体" w:cs="宋体"/>
                      <w:color w:val="auto"/>
                      <w:sz w:val="21"/>
                      <w:szCs w:val="21"/>
                      <w:highlight w:val="none"/>
                    </w:rPr>
                    <w:t>主机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1台</w:t>
                  </w:r>
                </w:p>
              </w:tc>
            </w:tr>
            <w:tr w14:paraId="2293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23911AF4">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b/>
                      <w:bCs/>
                      <w:color w:val="auto"/>
                      <w:kern w:val="0"/>
                      <w:sz w:val="22"/>
                      <w:szCs w:val="22"/>
                      <w:highlight w:val="none"/>
                      <w:lang w:val="en-US" w:eastAsia="zh-CN" w:bidi="ar-SA"/>
                    </w:rPr>
                  </w:pPr>
                  <w:r>
                    <w:rPr>
                      <w:rFonts w:hint="eastAsia" w:ascii="宋体" w:hAnsi="宋体" w:cs="宋体"/>
                      <w:b/>
                      <w:bCs/>
                      <w:color w:val="auto"/>
                      <w:kern w:val="0"/>
                      <w:sz w:val="22"/>
                      <w:highlight w:val="none"/>
                      <w:lang w:val="en-US" w:eastAsia="zh-CN"/>
                    </w:rPr>
                    <w:t>2</w:t>
                  </w:r>
                  <w:r>
                    <w:rPr>
                      <w:rFonts w:hint="eastAsia" w:ascii="宋体" w:hAnsi="宋体" w:cs="宋体"/>
                      <w:b/>
                      <w:bCs/>
                      <w:color w:val="auto"/>
                      <w:kern w:val="0"/>
                      <w:sz w:val="22"/>
                      <w:highlight w:val="none"/>
                    </w:rPr>
                    <w:t>、</w:t>
                  </w:r>
                  <w:r>
                    <w:rPr>
                      <w:rFonts w:hint="eastAsia" w:ascii="宋体" w:hAnsi="宋体" w:eastAsia="宋体" w:cs="宋体"/>
                      <w:color w:val="auto"/>
                      <w:sz w:val="21"/>
                      <w:szCs w:val="21"/>
                      <w:highlight w:val="none"/>
                    </w:rPr>
                    <w:t>连接气管和输出气嘴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2个</w:t>
                  </w:r>
                </w:p>
              </w:tc>
            </w:tr>
            <w:tr w14:paraId="79F9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0E2F774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b/>
                      <w:bCs/>
                      <w:color w:val="auto"/>
                      <w:kern w:val="0"/>
                      <w:sz w:val="22"/>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1.5m气管</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2条</w:t>
                  </w:r>
                </w:p>
              </w:tc>
            </w:tr>
            <w:tr w14:paraId="5737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6C7522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kern w:val="0"/>
                      <w:sz w:val="22"/>
                      <w:highlight w:val="none"/>
                      <w:lang w:val="en-US" w:eastAsia="zh-CN"/>
                    </w:rPr>
                  </w:pPr>
                  <w:r>
                    <w:rPr>
                      <w:rFonts w:hint="eastAsia" w:ascii="宋体" w:hAnsi="宋体" w:eastAsia="宋体" w:cs="宋体"/>
                      <w:color w:val="auto"/>
                      <w:sz w:val="21"/>
                      <w:szCs w:val="21"/>
                      <w:highlight w:val="none"/>
                    </w:rPr>
                    <w:t>4、消毒密封袋</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10个</w:t>
                  </w:r>
                </w:p>
              </w:tc>
            </w:tr>
            <w:tr w14:paraId="3900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0A8D512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5、消毒床罩</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10个</w:t>
                  </w:r>
                </w:p>
              </w:tc>
            </w:tr>
            <w:tr w14:paraId="5481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3AAE828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6、使用说明书</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1本</w:t>
                  </w:r>
                </w:p>
              </w:tc>
            </w:tr>
            <w:tr w14:paraId="4873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72C242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7、产品质量合格证</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1份</w:t>
                  </w:r>
                </w:p>
              </w:tc>
            </w:tr>
            <w:tr w14:paraId="5DE8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39A484A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8、保修卡</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1份</w:t>
                  </w:r>
                </w:p>
              </w:tc>
            </w:tr>
            <w:tr w14:paraId="0005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3743369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9、保险丝(3A)</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2个</w:t>
                  </w:r>
                </w:p>
              </w:tc>
            </w:tr>
            <w:tr w14:paraId="31A4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19F8F7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10、电源线</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1条</w:t>
                  </w:r>
                </w:p>
              </w:tc>
            </w:tr>
            <w:tr w14:paraId="570E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8" w:type="dxa"/>
                </w:tcPr>
                <w:p w14:paraId="2C797D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扎口带</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2个</w:t>
                  </w:r>
                </w:p>
              </w:tc>
            </w:tr>
          </w:tbl>
          <w:p w14:paraId="332078C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r>
    </w:tbl>
    <w:p w14:paraId="612F85E9">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（六）输液架</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06"/>
        <w:gridCol w:w="7357"/>
      </w:tblGrid>
      <w:tr w14:paraId="5A98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shd w:val="clear" w:color="auto" w:fill="auto"/>
            <w:vAlign w:val="center"/>
          </w:tcPr>
          <w:p w14:paraId="06D2838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03AC57C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7" w:type="pct"/>
            <w:shd w:val="clear" w:color="auto" w:fill="auto"/>
            <w:vAlign w:val="center"/>
          </w:tcPr>
          <w:p w14:paraId="48AED8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38E8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shd w:val="clear" w:color="auto" w:fill="auto"/>
            <w:vAlign w:val="center"/>
          </w:tcPr>
          <w:p w14:paraId="0DFB9AD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shd w:val="clear" w:color="auto" w:fill="auto"/>
            <w:vAlign w:val="center"/>
          </w:tcPr>
          <w:p w14:paraId="3ECF4B3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输液架</w:t>
            </w:r>
          </w:p>
        </w:tc>
        <w:tc>
          <w:tcPr>
            <w:tcW w:w="4317" w:type="pct"/>
            <w:shd w:val="clear" w:color="auto" w:fill="auto"/>
            <w:vAlign w:val="center"/>
          </w:tcPr>
          <w:p w14:paraId="11F07AAA">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配多重挂钩，五脚万向轮，配有四个挂钩，可升降。</w:t>
            </w:r>
          </w:p>
        </w:tc>
      </w:tr>
    </w:tbl>
    <w:p w14:paraId="38488DA8">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（七）人体成分分析仪</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706"/>
        <w:gridCol w:w="7359"/>
      </w:tblGrid>
      <w:tr w14:paraId="251A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276E27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4D0126F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8" w:type="pct"/>
            <w:shd w:val="clear" w:color="auto" w:fill="auto"/>
            <w:vAlign w:val="center"/>
          </w:tcPr>
          <w:p w14:paraId="75FFB5A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4A22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4CE871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617C587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人体成分分析仪</w:t>
            </w:r>
          </w:p>
        </w:tc>
        <w:tc>
          <w:tcPr>
            <w:tcW w:w="4318" w:type="pct"/>
            <w:shd w:val="clear" w:color="000000" w:fill="FFFFFF"/>
            <w:vAlign w:val="top"/>
          </w:tcPr>
          <w:p w14:paraId="2FAE235A">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设备适用于身体总水分、蛋白质含量、无机盐、体脂肪、肌肉量、去脂体重、体重、骨骼肌、体脂肪含量、体脂百分比、BMI、节段肌肉分析、节段脂肪分析、节段水分分析、内脏脂肪面积等人体成分测量分析。</w:t>
            </w:r>
          </w:p>
        </w:tc>
      </w:tr>
      <w:tr w14:paraId="0DC2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64F17F0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5070DF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47BBA27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2、电抗（Xc）：通过≥3种不同频率(5kHz, 50kHz, 250kHz)分别在5个节段部分(右上肢、左上肢、躯干、右下肢、左下肢)进行≥15种电抗测量。</w:t>
            </w:r>
          </w:p>
        </w:tc>
      </w:tr>
      <w:tr w14:paraId="12C7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3189D5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55FCE12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2AD2210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3、相位角(ǿ)：可进行全身相位角(50kHz)测试。</w:t>
            </w:r>
          </w:p>
        </w:tc>
      </w:tr>
      <w:tr w14:paraId="7008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257BB1B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7FEE67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71E0CA6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4、人体成分计算方法：不使用经验值估算（需提供相关证明文件）。</w:t>
            </w:r>
          </w:p>
        </w:tc>
      </w:tr>
      <w:tr w14:paraId="7CA8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1277F77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069132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000000" w:fill="FFFFFF"/>
            <w:vAlign w:val="top"/>
          </w:tcPr>
          <w:p w14:paraId="73B258A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5、额定电流：≤80 uA(±10 uA)。</w:t>
            </w:r>
          </w:p>
        </w:tc>
      </w:tr>
      <w:tr w14:paraId="64A5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00A3411E">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32CCBE9F">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8" w:type="pct"/>
            <w:shd w:val="clear" w:color="000000" w:fill="FFFFFF"/>
            <w:vAlign w:val="top"/>
          </w:tcPr>
          <w:p w14:paraId="72B4215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6、获得生物阻抗的测定装置及其测定方法的相关专利（需提供相关专利证书文件）。</w:t>
            </w:r>
          </w:p>
        </w:tc>
      </w:tr>
      <w:tr w14:paraId="54E4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0F7637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2A1D427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53C1EE4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7、年龄范围：3~99岁。</w:t>
            </w:r>
          </w:p>
        </w:tc>
      </w:tr>
      <w:tr w14:paraId="14C8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7FD7D83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EC2449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04C3740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8、生物电阻抗允差：四肢±1%以内，躯干±3%以内（需提供检测报告）。</w:t>
            </w:r>
          </w:p>
        </w:tc>
      </w:tr>
      <w:tr w14:paraId="2FAE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8E00EB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879628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53FA303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9、水分报告纸输出值：身体水分组成(身体总水分, 细胞内水分,细胞外水分) , 细胞外水分比率分析(细胞外水分比率), 节段体水</w:t>
            </w:r>
            <w:r>
              <w:rPr>
                <w:rFonts w:hint="eastAsia" w:ascii="宋体" w:hAnsi="宋体" w:eastAsia="宋体" w:cs="宋体"/>
                <w:color w:val="auto"/>
                <w:sz w:val="22"/>
                <w:szCs w:val="22"/>
                <w:highlight w:val="none"/>
                <w:lang w:val="en-US" w:eastAsia="ko-KR"/>
              </w:rPr>
              <w:t>分分析,节段细胞外水分比率分析,身体水分历史记录(体重、身体总水分、细胞内水分、细胞外水分、</w:t>
            </w:r>
            <w:r>
              <w:rPr>
                <w:rFonts w:hint="eastAsia" w:ascii="宋体" w:hAnsi="宋体" w:eastAsia="宋体" w:cs="宋体"/>
                <w:color w:val="auto"/>
                <w:sz w:val="22"/>
                <w:szCs w:val="22"/>
                <w:highlight w:val="none"/>
                <w:lang w:val="en-US" w:eastAsia="zh-CN"/>
              </w:rPr>
              <w:t>细胞外水分比率), 节段细胞内水分分析, 节段细胞外水分分析, 人体成分分析(蛋白质、无机盐、体脂肪、去脂体重、 骨矿物质含量), 肌肉脂肪分析(体重、骨骼肌含量、肌肉量、体脂肪含量), 肥胖分析(BMI, 体脂百分比), 研究项目(基础代谢率、腰臀比、腹围、内脏脂肪面积、肥胖度、身体细胞量、上臂围度、上臂肌肉围度、 TBW/FFM, 去脂体重指数、脂肪量指数),结果解析二维码,电抗，相位角(50kHz,右半身), 节段相位角(50kHz), 阻抗。</w:t>
            </w:r>
          </w:p>
        </w:tc>
      </w:tr>
      <w:tr w14:paraId="3170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58D8263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0A47E34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2D00289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10、报告纸类型：成人结果报告纸, 儿童专用报告纸，单独的身体水分结果报告纸。</w:t>
            </w:r>
          </w:p>
        </w:tc>
      </w:tr>
      <w:tr w14:paraId="288D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632C141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AA98F2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31F45B2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11、测量方法：采用直接节段多频率生物电阻抗分析法（DSM-BIA法）及同时多频率生物电阻抗分析法（SMF-BIA）。</w:t>
            </w:r>
          </w:p>
        </w:tc>
      </w:tr>
      <w:tr w14:paraId="0374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0169EBC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D03346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27CD60F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12、内部接口：触摸屏、键盘按键。</w:t>
            </w:r>
          </w:p>
        </w:tc>
      </w:tr>
      <w:tr w14:paraId="160B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2CD1A6E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0AC551B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5EFDA6E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13、测试体重范围：至少包含10~270kg。</w:t>
            </w:r>
          </w:p>
        </w:tc>
      </w:tr>
      <w:tr w14:paraId="6A54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A8A76B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AE333B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000000" w:fill="FFFFFF"/>
            <w:vAlign w:val="top"/>
          </w:tcPr>
          <w:p w14:paraId="51B6009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14、一键注册：有集体一键注册功能。</w:t>
            </w:r>
          </w:p>
        </w:tc>
      </w:tr>
      <w:tr w14:paraId="105A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267" w:type="pct"/>
            <w:vMerge w:val="continue"/>
            <w:shd w:val="clear" w:color="auto" w:fill="auto"/>
            <w:vAlign w:val="center"/>
          </w:tcPr>
          <w:p w14:paraId="699886C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A68934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342E1182">
            <w:pPr>
              <w:widowControl/>
              <w:jc w:val="left"/>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eastAsia="ko-KR"/>
              </w:rPr>
              <w:t>配置清单</w:t>
            </w:r>
          </w:p>
          <w:p w14:paraId="68F9112B">
            <w:pPr>
              <w:widowControl/>
              <w:jc w:val="left"/>
              <w:rPr>
                <w:rFonts w:hint="default"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rPr>
              <w:t>1、</w:t>
            </w:r>
            <w:r>
              <w:rPr>
                <w:rFonts w:hint="eastAsia" w:ascii="宋体" w:hAnsi="宋体" w:eastAsia="宋体" w:cs="宋体"/>
                <w:b w:val="0"/>
                <w:bCs w:val="0"/>
                <w:color w:val="auto"/>
                <w:sz w:val="22"/>
                <w:szCs w:val="22"/>
                <w:highlight w:val="none"/>
              </w:rPr>
              <w:t>主机</w:t>
            </w:r>
            <w:r>
              <w:rPr>
                <w:rFonts w:hint="eastAsia" w:ascii="宋体" w:hAnsi="宋体" w:cs="宋体"/>
                <w:b w:val="0"/>
                <w:bCs w:val="0"/>
                <w:color w:val="auto"/>
                <w:sz w:val="22"/>
                <w:szCs w:val="22"/>
                <w:highlight w:val="none"/>
                <w:lang w:val="en-US" w:eastAsia="zh-CN"/>
              </w:rPr>
              <w:t>1台</w:t>
            </w:r>
          </w:p>
          <w:p w14:paraId="32B16F14">
            <w:pPr>
              <w:widowControl/>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2、</w:t>
            </w:r>
            <w:r>
              <w:rPr>
                <w:rFonts w:hint="eastAsia" w:ascii="宋体" w:hAnsi="宋体" w:eastAsia="宋体" w:cs="宋体"/>
                <w:b w:val="0"/>
                <w:bCs w:val="0"/>
                <w:color w:val="auto"/>
                <w:sz w:val="22"/>
                <w:szCs w:val="22"/>
                <w:highlight w:val="none"/>
              </w:rPr>
              <w:t>前挡板</w:t>
            </w:r>
            <w:r>
              <w:rPr>
                <w:rFonts w:hint="eastAsia" w:ascii="宋体" w:hAnsi="宋体" w:cs="宋体"/>
                <w:b w:val="0"/>
                <w:bCs w:val="0"/>
                <w:color w:val="auto"/>
                <w:sz w:val="22"/>
                <w:szCs w:val="22"/>
                <w:highlight w:val="none"/>
                <w:lang w:val="en-US" w:eastAsia="zh-CN"/>
              </w:rPr>
              <w:t>1块</w:t>
            </w:r>
          </w:p>
          <w:p w14:paraId="372D5786">
            <w:pPr>
              <w:rPr>
                <w:color w:val="auto"/>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内六角扳手</w:t>
            </w:r>
            <w:r>
              <w:rPr>
                <w:rFonts w:hint="eastAsia" w:ascii="宋体" w:hAnsi="宋体" w:cs="宋体"/>
                <w:color w:val="auto"/>
                <w:sz w:val="22"/>
                <w:szCs w:val="22"/>
                <w:highlight w:val="none"/>
                <w:lang w:val="en-US" w:eastAsia="zh-CN"/>
              </w:rPr>
              <w:t>1个</w:t>
            </w:r>
          </w:p>
          <w:p w14:paraId="6629E8E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r>
              <w:rPr>
                <w:rFonts w:hint="eastAsia" w:ascii="宋体" w:hAnsi="宋体" w:cs="宋体"/>
                <w:strike w:val="0"/>
                <w:color w:val="auto"/>
                <w:sz w:val="22"/>
                <w:szCs w:val="22"/>
                <w:highlight w:val="none"/>
                <w:lang w:val="en-US" w:eastAsia="zh-CN"/>
              </w:rPr>
              <w:t>4、数据分析软件1套</w:t>
            </w:r>
          </w:p>
        </w:tc>
      </w:tr>
    </w:tbl>
    <w:p w14:paraId="44CA488F">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（八）移动式空气消毒机</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06"/>
        <w:gridCol w:w="7357"/>
      </w:tblGrid>
      <w:tr w14:paraId="56D2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268" w:type="pct"/>
            <w:shd w:val="clear" w:color="auto" w:fill="auto"/>
            <w:vAlign w:val="center"/>
          </w:tcPr>
          <w:p w14:paraId="1DE2ED5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1A46D3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7" w:type="pct"/>
            <w:shd w:val="clear" w:color="auto" w:fill="auto"/>
            <w:vAlign w:val="center"/>
          </w:tcPr>
          <w:p w14:paraId="60E65C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4FCD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shd w:val="clear" w:color="auto" w:fill="auto"/>
            <w:vAlign w:val="center"/>
          </w:tcPr>
          <w:p w14:paraId="6B09F20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shd w:val="clear" w:color="auto" w:fill="auto"/>
            <w:vAlign w:val="center"/>
          </w:tcPr>
          <w:p w14:paraId="10954ED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移动式空气消毒机</w:t>
            </w:r>
          </w:p>
        </w:tc>
        <w:tc>
          <w:tcPr>
            <w:tcW w:w="4317" w:type="pct"/>
            <w:shd w:val="clear" w:color="auto" w:fill="auto"/>
            <w:vAlign w:val="center"/>
          </w:tcPr>
          <w:p w14:paraId="2B55217C">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b w:val="0"/>
                <w:bCs/>
                <w:color w:val="auto"/>
                <w:kern w:val="0"/>
                <w:sz w:val="22"/>
                <w:szCs w:val="22"/>
                <w:highlight w:val="none"/>
                <w:lang w:val="en-US" w:eastAsia="zh-CN"/>
              </w:rPr>
            </w:pPr>
            <w:r>
              <w:rPr>
                <w:rFonts w:hint="eastAsia" w:ascii="宋体" w:hAnsi="宋体" w:eastAsia="宋体" w:cs="宋体"/>
                <w:color w:val="auto"/>
                <w:sz w:val="22"/>
                <w:szCs w:val="22"/>
                <w:highlight w:val="none"/>
                <w:lang w:val="en-US" w:eastAsia="zh-CN"/>
              </w:rPr>
              <w:t>采用等离子体＋静电吸附消毒灭菌，杀菌广谱、彻底；内含复合式过滤器，可有效除去空气中的挥发性气体、各种异味以及过滤毛发、粉尘等大尘埃颗粒；人机共存，可在有人状态下进行连续动态消毒，对人及物品没有任何伤害；额定循环风量≥600</w:t>
            </w:r>
            <w:r>
              <w:rPr>
                <w:rFonts w:hint="eastAsia"/>
                <w:color w:val="auto"/>
                <w:highlight w:val="none"/>
                <w:lang w:val="en-US" w:eastAsia="zh-CN"/>
              </w:rPr>
              <w:t>m³</w:t>
            </w:r>
            <w:r>
              <w:rPr>
                <w:rFonts w:hint="eastAsia" w:ascii="宋体" w:hAnsi="宋体" w:eastAsia="宋体" w:cs="宋体"/>
                <w:color w:val="auto"/>
                <w:sz w:val="22"/>
                <w:szCs w:val="22"/>
                <w:highlight w:val="none"/>
                <w:lang w:val="en-US" w:eastAsia="zh-CN"/>
              </w:rPr>
              <w:t>/h，消毒空间≥60</w:t>
            </w:r>
            <w:r>
              <w:rPr>
                <w:rFonts w:hint="eastAsia"/>
                <w:color w:val="auto"/>
                <w:highlight w:val="none"/>
                <w:lang w:val="en-US" w:eastAsia="zh-CN"/>
              </w:rPr>
              <w:t>m³</w:t>
            </w:r>
            <w:r>
              <w:rPr>
                <w:rFonts w:hint="eastAsia" w:ascii="宋体" w:hAnsi="宋体" w:eastAsia="宋体" w:cs="宋体"/>
                <w:color w:val="auto"/>
                <w:sz w:val="22"/>
                <w:szCs w:val="22"/>
                <w:highlight w:val="none"/>
                <w:lang w:val="en-US" w:eastAsia="zh-CN"/>
              </w:rPr>
              <w:t>。</w:t>
            </w:r>
          </w:p>
        </w:tc>
      </w:tr>
    </w:tbl>
    <w:p w14:paraId="30D8596E">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（九）手持双目视力筛查仪</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706"/>
        <w:gridCol w:w="7358"/>
      </w:tblGrid>
      <w:tr w14:paraId="6D07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633C7D8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0F0D0D3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7" w:type="pct"/>
            <w:shd w:val="clear" w:color="auto" w:fill="auto"/>
            <w:vAlign w:val="center"/>
          </w:tcPr>
          <w:p w14:paraId="053F23C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441B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510843B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26A8B4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手持双目视力筛查仪</w:t>
            </w:r>
          </w:p>
        </w:tc>
        <w:tc>
          <w:tcPr>
            <w:tcW w:w="4317" w:type="pct"/>
            <w:shd w:val="clear" w:color="000000" w:fill="FFFFFF"/>
            <w:vAlign w:val="top"/>
          </w:tcPr>
          <w:p w14:paraId="26DEA76C">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▲1、≥4.8英寸触摸显示屏,显示屏分辨率≥800 × 480 像素，手持便携操作。</w:t>
            </w:r>
          </w:p>
        </w:tc>
      </w:tr>
      <w:tr w14:paraId="7B99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15D9094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5AD3C9C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000000" w:fill="FFFFFF"/>
            <w:vAlign w:val="top"/>
          </w:tcPr>
          <w:p w14:paraId="5C0F6ED6">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2、等效球镜度数测量范围:-7.50D至+7.50D，增量：0.25D；精确度:-7.50D至-3.50D，±1.00D;-3.50D至3.50D，±0.50D;3.50D 至 7.50D，±1.00D。</w:t>
            </w:r>
          </w:p>
        </w:tc>
      </w:tr>
      <w:tr w14:paraId="0844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45C6818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53D1710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000000" w:fill="FFFFFF"/>
            <w:vAlign w:val="top"/>
          </w:tcPr>
          <w:p w14:paraId="0AB58F06">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3、自动测试距离，手持操作时85cm ± 5cm；自助操作时3cm±0.3cm且可自动测距并向被测者提供距离提示。</w:t>
            </w:r>
          </w:p>
        </w:tc>
      </w:tr>
      <w:tr w14:paraId="5F0F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56F73E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B15E2F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000000" w:fill="FFFFFF"/>
            <w:vAlign w:val="top"/>
          </w:tcPr>
          <w:p w14:paraId="4C0E8CE6">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4、斜视测量方向为鼻、颚及上下方向，范围0°到20°，精确度±1.5°（提供注册证附页的详细技术参数清单，并对相关内容进行标注）</w:t>
            </w:r>
          </w:p>
        </w:tc>
      </w:tr>
      <w:tr w14:paraId="3025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67" w:type="pct"/>
            <w:vMerge w:val="continue"/>
            <w:shd w:val="clear" w:color="auto" w:fill="auto"/>
            <w:vAlign w:val="center"/>
          </w:tcPr>
          <w:p w14:paraId="6C0264F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FFC9B1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7" w:type="pct"/>
            <w:shd w:val="clear" w:color="000000" w:fill="FFFFFF"/>
            <w:vAlign w:val="top"/>
          </w:tcPr>
          <w:p w14:paraId="59336A8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▲5、适用对象:检查范围应适用于6个月至1周岁的婴儿、幼儿、儿童及成人。</w:t>
            </w:r>
          </w:p>
        </w:tc>
      </w:tr>
      <w:tr w14:paraId="3565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67" w:type="pct"/>
            <w:vMerge w:val="continue"/>
            <w:shd w:val="clear" w:color="auto" w:fill="auto"/>
            <w:vAlign w:val="center"/>
          </w:tcPr>
          <w:p w14:paraId="58D733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highlight w:val="none"/>
              </w:rPr>
            </w:pPr>
          </w:p>
        </w:tc>
        <w:tc>
          <w:tcPr>
            <w:tcW w:w="414" w:type="pct"/>
            <w:vMerge w:val="continue"/>
            <w:shd w:val="clear" w:color="auto" w:fill="auto"/>
            <w:vAlign w:val="center"/>
          </w:tcPr>
          <w:p w14:paraId="55AC76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highlight w:val="none"/>
              </w:rPr>
            </w:pPr>
          </w:p>
        </w:tc>
        <w:tc>
          <w:tcPr>
            <w:tcW w:w="4317" w:type="pct"/>
            <w:shd w:val="clear" w:color="000000" w:fill="FFFFFF"/>
            <w:vAlign w:val="top"/>
          </w:tcPr>
          <w:p w14:paraId="3B04054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★配置清单</w:t>
            </w:r>
          </w:p>
          <w:p w14:paraId="63D05FAC">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1、双目视力筛查仪主机1台</w:t>
            </w:r>
          </w:p>
          <w:p w14:paraId="18AFF253">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2、交流电源线1根</w:t>
            </w:r>
          </w:p>
          <w:p w14:paraId="14792DF0">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3、电源/充电器,1个</w:t>
            </w:r>
          </w:p>
          <w:p w14:paraId="755D82CB">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4、腕带1条</w:t>
            </w:r>
          </w:p>
          <w:p w14:paraId="69D516D8">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5、使用说明书1本</w:t>
            </w:r>
          </w:p>
          <w:p w14:paraId="35E4B7C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6、清洁布1张</w:t>
            </w:r>
          </w:p>
        </w:tc>
      </w:tr>
    </w:tbl>
    <w:p w14:paraId="1753B005">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（十）医用转运车</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706"/>
        <w:gridCol w:w="7359"/>
      </w:tblGrid>
      <w:tr w14:paraId="0781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shd w:val="clear" w:color="auto" w:fill="auto"/>
            <w:vAlign w:val="center"/>
          </w:tcPr>
          <w:p w14:paraId="2DFAF3F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76956A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8" w:type="pct"/>
            <w:shd w:val="clear" w:color="auto" w:fill="auto"/>
            <w:vAlign w:val="center"/>
          </w:tcPr>
          <w:p w14:paraId="4892126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6FAD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restart"/>
            <w:shd w:val="clear" w:color="auto" w:fill="auto"/>
            <w:vAlign w:val="center"/>
          </w:tcPr>
          <w:p w14:paraId="4EC5DEA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1FFC323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医用转运车</w:t>
            </w:r>
          </w:p>
        </w:tc>
        <w:tc>
          <w:tcPr>
            <w:tcW w:w="4318" w:type="pct"/>
            <w:shd w:val="clear" w:color="auto" w:fill="auto"/>
            <w:vAlign w:val="center"/>
          </w:tcPr>
          <w:p w14:paraId="04BFF87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1、转运车全长1930±10mm，全宽663±10mm。</w:t>
            </w:r>
          </w:p>
        </w:tc>
      </w:tr>
      <w:tr w14:paraId="5275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014B18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4DB4BFB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center"/>
          </w:tcPr>
          <w:p w14:paraId="2A09D82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2、床板距离地面可调节高度最低位≤510mm，最高位≥850mm。</w:t>
            </w:r>
          </w:p>
        </w:tc>
      </w:tr>
      <w:tr w14:paraId="0669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752EA59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17375D1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center"/>
          </w:tcPr>
          <w:p w14:paraId="7A4100B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3、背板升降范围至少包括0-70°，由气动弹簧控制,无级操作。</w:t>
            </w:r>
          </w:p>
        </w:tc>
      </w:tr>
      <w:tr w14:paraId="1260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7" w:type="pct"/>
            <w:vMerge w:val="continue"/>
            <w:shd w:val="clear" w:color="auto" w:fill="auto"/>
            <w:vAlign w:val="center"/>
          </w:tcPr>
          <w:p w14:paraId="6EF1A97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0D66A7A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center"/>
          </w:tcPr>
          <w:p w14:paraId="39534D78">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4、铝钢制床架，采用（电泳＋粉末）复式喷涂，经过耐挤压性、耐重物落下性、、耐开水性、耐盐水喷雾性（盐雾≥500小时）、耐湿性等相关测试。</w:t>
            </w:r>
          </w:p>
        </w:tc>
      </w:tr>
      <w:tr w14:paraId="71B6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BAC864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450AA41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8" w:type="pct"/>
            <w:shd w:val="clear" w:color="auto" w:fill="auto"/>
            <w:vAlign w:val="center"/>
          </w:tcPr>
          <w:p w14:paraId="71E030A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5、床板采用PP树脂材料制成，床板两段式设计，腿部床板背面配有增加强度的加固凹槽，数量≥22个。（提供产品实物图片）。</w:t>
            </w:r>
          </w:p>
        </w:tc>
      </w:tr>
      <w:tr w14:paraId="4D98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3584B0A">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1FFF2EFD">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8" w:type="pct"/>
            <w:shd w:val="clear" w:color="auto" w:fill="auto"/>
            <w:vAlign w:val="center"/>
          </w:tcPr>
          <w:p w14:paraId="088CF23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6、护栏上设有一次吹塑成型角度显示器（非印刷），护栏上设有凹槽，方便管道通过护栏。</w:t>
            </w:r>
          </w:p>
        </w:tc>
      </w:tr>
      <w:tr w14:paraId="4E2D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E80F72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1DCB8D5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1E75419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7、在护栏下方配置配件横杆，单侧横杆上设置有≥6个挂钩安装孔，挂钩可根据临床需要调整不同位置，挂钩承重≥3kg。挂钩采用徒手拆卸式挂钩，无需任何工具即可调整挂钩的位置。</w:t>
            </w:r>
          </w:p>
        </w:tc>
      </w:tr>
      <w:tr w14:paraId="62C8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00A2710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47E7966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1F2FE241">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8、床体四角配有输液架安装孔，共4处，金属支座上设置输液架固定旋钮，固定把手须朝向床体中间，防止误操作。</w:t>
            </w:r>
          </w:p>
        </w:tc>
      </w:tr>
      <w:tr w14:paraId="20B7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049F04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2F2CDB0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4528EE6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9、轮锁止后，推动转运车前行时，应能自限在呈床身纵向直线方向行走。</w:t>
            </w:r>
          </w:p>
        </w:tc>
      </w:tr>
      <w:tr w14:paraId="0C78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35B38CE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7752B71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22F5EA0B">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10、转运车的脚轮锁定牢靠，锁止后在倾斜10°的斜面上移动距离应≤10mm。</w:t>
            </w:r>
          </w:p>
        </w:tc>
      </w:tr>
      <w:tr w14:paraId="3C0E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652DBC5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53B482D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3AAA2BF7">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11、标配氧气瓶搁架，可以选择横竖两种方式存放氧气瓶，搁架可随床体同时升降。</w:t>
            </w:r>
          </w:p>
        </w:tc>
      </w:tr>
      <w:tr w14:paraId="6A97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7" w:type="pct"/>
            <w:vMerge w:val="continue"/>
            <w:shd w:val="clear" w:color="auto" w:fill="auto"/>
            <w:vAlign w:val="center"/>
          </w:tcPr>
          <w:p w14:paraId="469263D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52CFA3C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1AA5FEB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12、至少有2处输液架收藏装置。</w:t>
            </w:r>
            <w:r>
              <w:rPr>
                <w:rFonts w:hint="eastAsia" w:ascii="宋体" w:hAnsi="宋体" w:eastAsia="宋体" w:cs="宋体"/>
                <w:b/>
                <w:bCs/>
                <w:color w:val="auto"/>
                <w:sz w:val="22"/>
                <w:szCs w:val="22"/>
                <w:highlight w:val="none"/>
                <w:lang w:val="en-US" w:eastAsia="zh-CN"/>
              </w:rPr>
              <w:t>（提供实物图片）</w:t>
            </w:r>
          </w:p>
        </w:tc>
      </w:tr>
      <w:tr w14:paraId="01FE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267" w:type="pct"/>
            <w:vMerge w:val="continue"/>
            <w:shd w:val="clear" w:color="auto" w:fill="auto"/>
            <w:vAlign w:val="center"/>
          </w:tcPr>
          <w:p w14:paraId="5C3F136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14" w:type="pct"/>
            <w:vMerge w:val="continue"/>
            <w:shd w:val="clear" w:color="auto" w:fill="auto"/>
            <w:vAlign w:val="center"/>
          </w:tcPr>
          <w:p w14:paraId="26418D9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color w:val="auto"/>
                <w:kern w:val="0"/>
                <w:sz w:val="22"/>
                <w:szCs w:val="22"/>
                <w:highlight w:val="none"/>
                <w:lang w:eastAsia="zh-CN"/>
              </w:rPr>
            </w:pPr>
          </w:p>
        </w:tc>
        <w:tc>
          <w:tcPr>
            <w:tcW w:w="4318" w:type="pct"/>
            <w:shd w:val="clear" w:color="auto" w:fill="auto"/>
            <w:vAlign w:val="center"/>
          </w:tcPr>
          <w:p w14:paraId="7ADEA663">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★配置清单</w:t>
            </w:r>
          </w:p>
          <w:p w14:paraId="71116B3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1.转运床体：1张</w:t>
            </w:r>
          </w:p>
          <w:p w14:paraId="487DF56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2.旋转式护栏：1套</w:t>
            </w:r>
          </w:p>
          <w:p w14:paraId="674743F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3.转运床垫：1张</w:t>
            </w:r>
          </w:p>
          <w:p w14:paraId="63C3A3C2">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4.输液架：1根</w:t>
            </w:r>
          </w:p>
          <w:p w14:paraId="43CB60B7">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5.氧气瓶搁架 ：1个</w:t>
            </w:r>
          </w:p>
          <w:p w14:paraId="1537DD1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6.托盘： 1个</w:t>
            </w:r>
          </w:p>
          <w:p w14:paraId="329028B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7.中控锁双面脚轮：4个</w:t>
            </w:r>
          </w:p>
          <w:p w14:paraId="3FC196C4">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8.刹车踏板：4个</w:t>
            </w:r>
          </w:p>
          <w:p w14:paraId="1E7625A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9.引流袋挂钩 ：1套</w:t>
            </w:r>
          </w:p>
          <w:p w14:paraId="4F8C3276">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10.中心第五轮 ：1套</w:t>
            </w:r>
          </w:p>
          <w:p w14:paraId="6120CF1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11.中心第五轮踏板 ：2个</w:t>
            </w:r>
          </w:p>
          <w:p w14:paraId="2AB840E8">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12.约束带：2套</w:t>
            </w:r>
          </w:p>
        </w:tc>
      </w:tr>
    </w:tbl>
    <w:p w14:paraId="3ACAA1E0">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（十一）臭氧消毒机</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706"/>
        <w:gridCol w:w="7360"/>
      </w:tblGrid>
      <w:tr w14:paraId="3951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6" w:type="pct"/>
            <w:shd w:val="clear" w:color="auto" w:fill="auto"/>
            <w:vAlign w:val="center"/>
          </w:tcPr>
          <w:p w14:paraId="5073E92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46D5F3C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9" w:type="pct"/>
            <w:shd w:val="clear" w:color="auto" w:fill="auto"/>
            <w:vAlign w:val="center"/>
          </w:tcPr>
          <w:p w14:paraId="2EB7F8C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01ED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6" w:type="pct"/>
            <w:vMerge w:val="restart"/>
            <w:shd w:val="clear" w:color="auto" w:fill="auto"/>
            <w:vAlign w:val="center"/>
          </w:tcPr>
          <w:p w14:paraId="741432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49FFBCB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臭氧消毒机</w:t>
            </w:r>
          </w:p>
        </w:tc>
        <w:tc>
          <w:tcPr>
            <w:tcW w:w="4319" w:type="pct"/>
            <w:shd w:val="clear" w:color="auto" w:fill="auto"/>
            <w:vAlign w:val="top"/>
          </w:tcPr>
          <w:p w14:paraId="40FA3618">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▲1、具有双重因子杀菌功能；金属外壳能杜绝燃烧事故，方便日常清洗、保养维护。</w:t>
            </w:r>
          </w:p>
        </w:tc>
      </w:tr>
      <w:tr w14:paraId="1592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6" w:type="pct"/>
            <w:vMerge w:val="continue"/>
            <w:shd w:val="clear" w:color="auto" w:fill="auto"/>
            <w:vAlign w:val="center"/>
          </w:tcPr>
          <w:p w14:paraId="49C7D3B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6705583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9" w:type="pct"/>
            <w:shd w:val="clear" w:color="auto" w:fill="auto"/>
            <w:vAlign w:val="top"/>
          </w:tcPr>
          <w:p w14:paraId="4EE00BF9">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2、臭氧浓度：≥20mg/m3；消毒范围：≥100m3；噪声：≤65db（A）。</w:t>
            </w:r>
          </w:p>
        </w:tc>
      </w:tr>
      <w:tr w14:paraId="0E9B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6" w:type="pct"/>
            <w:vMerge w:val="continue"/>
            <w:shd w:val="clear" w:color="auto" w:fill="auto"/>
            <w:vAlign w:val="center"/>
          </w:tcPr>
          <w:p w14:paraId="6FD9C11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FE1EF5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9" w:type="pct"/>
            <w:shd w:val="clear" w:color="auto" w:fill="auto"/>
            <w:vAlign w:val="top"/>
          </w:tcPr>
          <w:p w14:paraId="65568894">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3、有程控定时功能。</w:t>
            </w:r>
          </w:p>
        </w:tc>
      </w:tr>
      <w:tr w14:paraId="1363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6" w:type="pct"/>
            <w:vMerge w:val="continue"/>
            <w:shd w:val="clear" w:color="auto" w:fill="auto"/>
            <w:vAlign w:val="center"/>
          </w:tcPr>
          <w:p w14:paraId="1FED682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65509BD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9" w:type="pct"/>
            <w:shd w:val="clear" w:color="auto" w:fill="auto"/>
            <w:vAlign w:val="top"/>
          </w:tcPr>
          <w:p w14:paraId="13D055AF">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4、安装方式：移动式方便各区域各场景工作。</w:t>
            </w:r>
          </w:p>
        </w:tc>
      </w:tr>
      <w:tr w14:paraId="3819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6" w:type="pct"/>
            <w:vMerge w:val="continue"/>
            <w:shd w:val="clear" w:color="auto" w:fill="auto"/>
            <w:vAlign w:val="center"/>
          </w:tcPr>
          <w:p w14:paraId="25E258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29BCA28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9" w:type="pct"/>
            <w:shd w:val="clear" w:color="auto" w:fill="auto"/>
            <w:vAlign w:val="top"/>
          </w:tcPr>
          <w:p w14:paraId="75241C08">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▲5、灭菌效果：对白色葡萄球菌（8032）的杀灭率≥99.90%,对空气中自然菌的消亡率≥90%。</w:t>
            </w:r>
          </w:p>
        </w:tc>
      </w:tr>
      <w:tr w14:paraId="7398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266" w:type="pct"/>
            <w:vMerge w:val="continue"/>
            <w:shd w:val="clear" w:color="auto" w:fill="auto"/>
            <w:vAlign w:val="center"/>
          </w:tcPr>
          <w:p w14:paraId="6D852CC8">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14" w:type="pct"/>
            <w:vMerge w:val="continue"/>
            <w:shd w:val="clear" w:color="auto" w:fill="auto"/>
            <w:vAlign w:val="center"/>
          </w:tcPr>
          <w:p w14:paraId="7BCAA329">
            <w:pPr>
              <w:keepNext w:val="0"/>
              <w:keepLines w:val="0"/>
              <w:pageBreakBefore w:val="0"/>
              <w:widowControl/>
              <w:kinsoku/>
              <w:wordWrap/>
              <w:overflowPunct/>
              <w:topLinePunct w:val="0"/>
              <w:autoSpaceDE/>
              <w:autoSpaceDN/>
              <w:bidi w:val="0"/>
              <w:adjustRightInd/>
              <w:snapToGrid/>
              <w:spacing w:line="240" w:lineRule="auto"/>
              <w:jc w:val="left"/>
              <w:textAlignment w:val="center"/>
              <w:rPr>
                <w:color w:val="auto"/>
                <w:highlight w:val="none"/>
              </w:rPr>
            </w:pPr>
          </w:p>
        </w:tc>
        <w:tc>
          <w:tcPr>
            <w:tcW w:w="4319" w:type="pct"/>
            <w:shd w:val="clear" w:color="auto" w:fill="auto"/>
            <w:vAlign w:val="top"/>
          </w:tcPr>
          <w:p w14:paraId="75268EC4">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★配置清单</w:t>
            </w:r>
          </w:p>
          <w:p w14:paraId="73AEA05E">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1、主机           1台</w:t>
            </w:r>
          </w:p>
          <w:p w14:paraId="22DCB187">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2、使用说明书     1本</w:t>
            </w:r>
          </w:p>
          <w:p w14:paraId="111F624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3、产品合格证     1份</w:t>
            </w:r>
          </w:p>
          <w:p w14:paraId="647B2EF8">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4、保修卡         1份</w:t>
            </w:r>
          </w:p>
          <w:p w14:paraId="0F247BE0">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5、保险管         2个</w:t>
            </w:r>
          </w:p>
        </w:tc>
      </w:tr>
    </w:tbl>
    <w:p w14:paraId="6991DB28">
      <w:pPr>
        <w:numPr>
          <w:ilvl w:val="0"/>
          <w:numId w:val="0"/>
        </w:num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t>（十二）石膏电锯</w:t>
      </w:r>
    </w:p>
    <w:tbl>
      <w:tblPr>
        <w:tblStyle w:val="4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706"/>
        <w:gridCol w:w="7356"/>
      </w:tblGrid>
      <w:tr w14:paraId="696D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shd w:val="clear" w:color="auto" w:fill="auto"/>
            <w:vAlign w:val="center"/>
          </w:tcPr>
          <w:p w14:paraId="2F6C4CD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序号</w:t>
            </w:r>
          </w:p>
        </w:tc>
        <w:tc>
          <w:tcPr>
            <w:tcW w:w="414" w:type="pct"/>
            <w:shd w:val="clear" w:color="auto" w:fill="auto"/>
            <w:vAlign w:val="center"/>
          </w:tcPr>
          <w:p w14:paraId="225C7C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货物名称</w:t>
            </w:r>
          </w:p>
        </w:tc>
        <w:tc>
          <w:tcPr>
            <w:tcW w:w="4316" w:type="pct"/>
            <w:shd w:val="clear" w:color="auto" w:fill="auto"/>
            <w:vAlign w:val="center"/>
          </w:tcPr>
          <w:p w14:paraId="72EA9B8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kern w:val="0"/>
                <w:sz w:val="22"/>
                <w:szCs w:val="22"/>
                <w:highlight w:val="none"/>
              </w:rPr>
              <w:t>招标技术要求</w:t>
            </w:r>
          </w:p>
        </w:tc>
      </w:tr>
      <w:tr w14:paraId="0EFF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restart"/>
            <w:shd w:val="clear" w:color="auto" w:fill="auto"/>
            <w:vAlign w:val="center"/>
          </w:tcPr>
          <w:p w14:paraId="01B9840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w:t>
            </w:r>
          </w:p>
        </w:tc>
        <w:tc>
          <w:tcPr>
            <w:tcW w:w="414" w:type="pct"/>
            <w:vMerge w:val="restart"/>
            <w:shd w:val="clear" w:color="auto" w:fill="auto"/>
            <w:vAlign w:val="center"/>
          </w:tcPr>
          <w:p w14:paraId="48A416C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eastAsia="zh-CN"/>
              </w:rPr>
              <w:t>石膏电锯</w:t>
            </w:r>
          </w:p>
        </w:tc>
        <w:tc>
          <w:tcPr>
            <w:tcW w:w="4316" w:type="pct"/>
            <w:shd w:val="clear" w:color="auto" w:fill="auto"/>
            <w:vAlign w:val="center"/>
          </w:tcPr>
          <w:p w14:paraId="46290BF6">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1、刃具硬度 ：不低于HRC58。</w:t>
            </w:r>
          </w:p>
        </w:tc>
      </w:tr>
      <w:tr w14:paraId="45E5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6C063EF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7737648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70342A80">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2、扭矩 ：≥1600g.cm。</w:t>
            </w:r>
          </w:p>
        </w:tc>
      </w:tr>
      <w:tr w14:paraId="10A3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3DD11D2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FAA43D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42FD3B85">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▲3、动力手柄 ：高温高压消毒，转速≥0-10000 rpm/min，摆幅≤4°。具有自停功能。</w:t>
            </w:r>
          </w:p>
        </w:tc>
      </w:tr>
      <w:tr w14:paraId="2F45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6EA25D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3D8A36B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678923C4">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4、锯片：可高温高压消毒。</w:t>
            </w:r>
          </w:p>
        </w:tc>
      </w:tr>
      <w:tr w14:paraId="20F3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8" w:type="pct"/>
            <w:vMerge w:val="continue"/>
            <w:shd w:val="clear" w:color="auto" w:fill="auto"/>
            <w:vAlign w:val="center"/>
          </w:tcPr>
          <w:p w14:paraId="064AC71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14" w:type="pct"/>
            <w:vMerge w:val="continue"/>
            <w:shd w:val="clear" w:color="auto" w:fill="auto"/>
            <w:vAlign w:val="center"/>
          </w:tcPr>
          <w:p w14:paraId="07EDDDF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color w:val="auto"/>
                <w:sz w:val="22"/>
                <w:szCs w:val="22"/>
                <w:highlight w:val="none"/>
              </w:rPr>
            </w:pPr>
          </w:p>
        </w:tc>
        <w:tc>
          <w:tcPr>
            <w:tcW w:w="4316" w:type="pct"/>
            <w:shd w:val="clear" w:color="auto" w:fill="auto"/>
            <w:vAlign w:val="center"/>
          </w:tcPr>
          <w:p w14:paraId="758CFD1D">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★配置清单：</w:t>
            </w:r>
          </w:p>
          <w:p w14:paraId="7698F467">
            <w:pPr>
              <w:keepNext w:val="0"/>
              <w:keepLines w:val="0"/>
              <w:pageBreakBefore w:val="0"/>
              <w:widowControl/>
              <w:kinsoku/>
              <w:wordWrap/>
              <w:overflowPunct/>
              <w:topLinePunct w:val="0"/>
              <w:bidi w:val="0"/>
              <w:snapToGrid/>
              <w:spacing w:line="240" w:lineRule="auto"/>
              <w:jc w:val="left"/>
              <w:textAlignment w:val="auto"/>
              <w:rPr>
                <w:rFonts w:hint="default" w:ascii="宋体" w:hAnsi="宋体" w:eastAsia="宋体" w:cs="宋体"/>
                <w:color w:val="auto"/>
                <w:sz w:val="22"/>
                <w:szCs w:val="22"/>
                <w:highlight w:val="none"/>
                <w:lang w:val="en-US" w:eastAsia="zh-CN"/>
              </w:rPr>
            </w:pPr>
            <w:r>
              <w:rPr>
                <w:rFonts w:hint="default" w:ascii="宋体" w:hAnsi="宋体" w:eastAsia="宋体" w:cs="宋体"/>
                <w:color w:val="auto"/>
                <w:sz w:val="22"/>
                <w:szCs w:val="22"/>
                <w:highlight w:val="none"/>
                <w:lang w:val="en-US" w:eastAsia="zh-CN"/>
              </w:rPr>
              <w:t>1.石膏锯动力手柄 1台</w:t>
            </w:r>
          </w:p>
          <w:p w14:paraId="0CB511EA">
            <w:pPr>
              <w:keepNext w:val="0"/>
              <w:keepLines w:val="0"/>
              <w:pageBreakBefore w:val="0"/>
              <w:widowControl/>
              <w:kinsoku/>
              <w:wordWrap/>
              <w:overflowPunct/>
              <w:topLinePunct w:val="0"/>
              <w:bidi w:val="0"/>
              <w:snapToGrid/>
              <w:spacing w:line="240" w:lineRule="auto"/>
              <w:jc w:val="left"/>
              <w:textAlignment w:val="auto"/>
              <w:rPr>
                <w:rFonts w:hint="eastAsia" w:ascii="宋体" w:hAnsi="宋体" w:eastAsia="宋体" w:cs="宋体"/>
                <w:color w:val="auto"/>
                <w:sz w:val="22"/>
                <w:szCs w:val="22"/>
                <w:highlight w:val="none"/>
                <w:lang w:val="en-US" w:eastAsia="zh-CN"/>
              </w:rPr>
            </w:pPr>
            <w:r>
              <w:rPr>
                <w:rFonts w:hint="default" w:ascii="宋体" w:hAnsi="宋体" w:eastAsia="宋体" w:cs="宋体"/>
                <w:color w:val="auto"/>
                <w:sz w:val="22"/>
                <w:szCs w:val="22"/>
                <w:highlight w:val="none"/>
                <w:lang w:val="en-US" w:eastAsia="zh-CN"/>
              </w:rPr>
              <w:t>2.石膏锯锯片 3支</w:t>
            </w:r>
          </w:p>
        </w:tc>
      </w:tr>
    </w:tbl>
    <w:p w14:paraId="4787FE88">
      <w:pPr>
        <w:rPr>
          <w:rFonts w:hint="eastAsia" w:ascii="宋体" w:hAnsi="宋体" w:eastAsia="宋体" w:cs="宋体"/>
          <w:b/>
          <w:color w:val="auto"/>
          <w:sz w:val="22"/>
          <w:highlight w:val="none"/>
          <w:lang w:val="en-US" w:eastAsia="zh-CN"/>
        </w:rPr>
      </w:pPr>
      <w:r>
        <w:rPr>
          <w:rFonts w:hint="eastAsia" w:ascii="宋体" w:hAnsi="宋体" w:eastAsia="宋体" w:cs="宋体"/>
          <w:b/>
          <w:color w:val="auto"/>
          <w:sz w:val="22"/>
          <w:highlight w:val="none"/>
          <w:lang w:val="en-US" w:eastAsia="zh-CN"/>
        </w:rPr>
        <w:br w:type="page"/>
      </w:r>
    </w:p>
    <w:p w14:paraId="13E9A0E4">
      <w:pPr>
        <w:keepNext/>
        <w:keepLines/>
        <w:numPr>
          <w:ilvl w:val="0"/>
          <w:numId w:val="5"/>
        </w:numPr>
        <w:adjustRightInd w:val="0"/>
        <w:spacing w:before="156" w:beforeLines="50" w:after="156" w:afterLines="50"/>
        <w:jc w:val="center"/>
        <w:textAlignment w:val="baseline"/>
        <w:outlineLvl w:val="1"/>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商务要求</w:t>
      </w:r>
    </w:p>
    <w:p w14:paraId="05414BBF">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4"/>
          <w:highlight w:val="none"/>
        </w:rPr>
      </w:pPr>
      <w:r>
        <w:rPr>
          <w:rFonts w:hint="eastAsia" w:ascii="宋体" w:hAnsi="宋体" w:eastAsia="宋体" w:cs="宋体"/>
          <w:b w:val="0"/>
          <w:bCs/>
          <w:color w:val="auto"/>
          <w:sz w:val="22"/>
          <w:szCs w:val="22"/>
          <w:highlight w:val="none"/>
        </w:rPr>
        <w:t>说明：</w:t>
      </w:r>
      <w:r>
        <w:rPr>
          <w:rFonts w:hint="eastAsia" w:ascii="宋体" w:hAnsi="宋体" w:eastAsia="宋体" w:cs="宋体"/>
          <w:b w:val="0"/>
          <w:bCs/>
          <w:color w:val="auto"/>
          <w:sz w:val="22"/>
          <w:szCs w:val="24"/>
          <w:highlight w:val="none"/>
        </w:rPr>
        <w:t>1、评分时，如对一项招标商务要求（以划分框为准）中的内容存在两处（或以上）负偏离的，在评分时只作一项负偏离扣分。</w:t>
      </w:r>
    </w:p>
    <w:p w14:paraId="2017D2BE">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2、带★号条款为不可偏离条款，不作为评分准则中的评分内容</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如未响应或出现负偏离的，将作投标无效处理；带“</w:t>
      </w:r>
      <w:r>
        <w:rPr>
          <w:rFonts w:hint="eastAsia" w:ascii="宋体" w:hAnsi="宋体" w:eastAsia="宋体" w:cs="宋体"/>
          <w:b w:val="0"/>
          <w:bCs/>
          <w:color w:val="auto"/>
          <w:sz w:val="22"/>
          <w:szCs w:val="24"/>
          <w:highlight w:val="none"/>
        </w:rPr>
        <w:t>▲</w:t>
      </w:r>
      <w:r>
        <w:rPr>
          <w:rFonts w:hint="eastAsia" w:ascii="宋体" w:hAnsi="宋体" w:eastAsia="宋体" w:cs="宋体"/>
          <w:b w:val="0"/>
          <w:bCs/>
          <w:color w:val="auto"/>
          <w:sz w:val="22"/>
          <w:szCs w:val="22"/>
          <w:highlight w:val="none"/>
        </w:rPr>
        <w:t>”指标项为重要参数，负偏离时依相关评分准则内容作重点扣分处理。</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10"/>
        <w:gridCol w:w="1048"/>
        <w:gridCol w:w="6832"/>
      </w:tblGrid>
      <w:tr w14:paraId="5D25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5" w:type="pct"/>
            <w:gridSpan w:val="2"/>
            <w:shd w:val="clear" w:color="auto" w:fill="auto"/>
            <w:vAlign w:val="center"/>
          </w:tcPr>
          <w:p w14:paraId="151ECB8D">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序号</w:t>
            </w:r>
          </w:p>
        </w:tc>
        <w:tc>
          <w:tcPr>
            <w:tcW w:w="615" w:type="pct"/>
            <w:shd w:val="clear" w:color="auto" w:fill="auto"/>
            <w:vAlign w:val="center"/>
          </w:tcPr>
          <w:p w14:paraId="0BC3CB01">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商务需求项</w:t>
            </w:r>
          </w:p>
        </w:tc>
        <w:tc>
          <w:tcPr>
            <w:tcW w:w="4009" w:type="pct"/>
            <w:shd w:val="clear" w:color="auto" w:fill="auto"/>
            <w:vAlign w:val="center"/>
          </w:tcPr>
          <w:p w14:paraId="0E803B26">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招标商务要求</w:t>
            </w:r>
          </w:p>
        </w:tc>
      </w:tr>
      <w:tr w14:paraId="42BC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jc w:val="center"/>
        </w:trPr>
        <w:tc>
          <w:tcPr>
            <w:tcW w:w="5000" w:type="pct"/>
            <w:gridSpan w:val="4"/>
            <w:shd w:val="clear" w:color="auto" w:fill="auto"/>
            <w:tcMar>
              <w:top w:w="0" w:type="dxa"/>
              <w:left w:w="108" w:type="dxa"/>
              <w:bottom w:w="0" w:type="dxa"/>
              <w:right w:w="108" w:type="dxa"/>
            </w:tcMar>
          </w:tcPr>
          <w:p w14:paraId="3B459B8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（一）免费保修期内售后服务要求</w:t>
            </w:r>
          </w:p>
        </w:tc>
      </w:tr>
      <w:tr w14:paraId="5B6A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jc w:val="center"/>
        </w:trPr>
        <w:tc>
          <w:tcPr>
            <w:tcW w:w="369" w:type="pct"/>
            <w:vMerge w:val="restart"/>
            <w:shd w:val="clear" w:color="auto" w:fill="auto"/>
            <w:tcMar>
              <w:top w:w="0" w:type="dxa"/>
              <w:left w:w="108" w:type="dxa"/>
              <w:bottom w:w="0" w:type="dxa"/>
              <w:right w:w="108" w:type="dxa"/>
            </w:tcMar>
            <w:vAlign w:val="center"/>
          </w:tcPr>
          <w:p w14:paraId="1942EB00">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1</w:t>
            </w:r>
          </w:p>
        </w:tc>
        <w:tc>
          <w:tcPr>
            <w:tcW w:w="620" w:type="pct"/>
            <w:gridSpan w:val="2"/>
            <w:vMerge w:val="restart"/>
            <w:shd w:val="clear" w:color="auto" w:fill="auto"/>
            <w:tcMar>
              <w:top w:w="0" w:type="dxa"/>
              <w:left w:w="108" w:type="dxa"/>
              <w:bottom w:w="0" w:type="dxa"/>
              <w:right w:w="108" w:type="dxa"/>
            </w:tcMar>
            <w:vAlign w:val="center"/>
          </w:tcPr>
          <w:p w14:paraId="624B06E7">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维修及维护服务</w:t>
            </w:r>
          </w:p>
        </w:tc>
        <w:tc>
          <w:tcPr>
            <w:tcW w:w="4009" w:type="pct"/>
            <w:shd w:val="clear" w:color="auto" w:fill="auto"/>
            <w:tcMar>
              <w:top w:w="0" w:type="dxa"/>
              <w:left w:w="108" w:type="dxa"/>
              <w:bottom w:w="0" w:type="dxa"/>
              <w:right w:w="108" w:type="dxa"/>
            </w:tcMar>
          </w:tcPr>
          <w:p w14:paraId="3034F8F6">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★1.1各投标人应并承诺提供整机免费保修期</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详见下表</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,终身维修。保修期内，年度定期预防性维护保养次数应不少于 4 次。保修期内免费更换零配件、免工时费。投标人承诺提供制造商原厂售后维修服务和制造商配备原厂工程师。（投标时提供承诺函，格式自拟）</w:t>
            </w:r>
          </w:p>
          <w:tbl>
            <w:tblPr>
              <w:tblStyle w:val="43"/>
              <w:tblW w:w="614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6"/>
              <w:gridCol w:w="3854"/>
            </w:tblGrid>
            <w:tr w14:paraId="6C5A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801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壁式吸引器</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5FF3">
                  <w:pPr>
                    <w:keepNext w:val="0"/>
                    <w:keepLines w:val="0"/>
                    <w:widowControl/>
                    <w:suppressLineNumbers w:val="0"/>
                    <w:jc w:val="center"/>
                    <w:textAlignment w:val="center"/>
                    <w:rPr>
                      <w:rFonts w:hint="default" w:ascii="宋体" w:hAnsi="宋体" w:eastAsia="宋体" w:cs="宋体"/>
                      <w:b/>
                      <w:bCs/>
                      <w:i w:val="0"/>
                      <w:iCs w:val="0"/>
                      <w:color w:val="auto"/>
                      <w:sz w:val="20"/>
                      <w:szCs w:val="20"/>
                      <w:highlight w:val="none"/>
                      <w:u w:val="none"/>
                      <w:lang w:val="en-US"/>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2年</w:t>
                  </w:r>
                </w:p>
              </w:tc>
            </w:tr>
            <w:tr w14:paraId="67E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E4EC">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生命体征测量仪</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1BA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5年</w:t>
                  </w:r>
                </w:p>
              </w:tc>
            </w:tr>
            <w:tr w14:paraId="4A31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5A73">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输液泵</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8A3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5年</w:t>
                  </w:r>
                </w:p>
              </w:tc>
            </w:tr>
            <w:tr w14:paraId="35AC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B70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注射泵</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B2D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5年</w:t>
                  </w:r>
                </w:p>
              </w:tc>
            </w:tr>
            <w:tr w14:paraId="6DF58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9BFA">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床单位空气消毒机</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636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3年</w:t>
                  </w:r>
                </w:p>
              </w:tc>
            </w:tr>
            <w:tr w14:paraId="2C017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40F9">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输液架</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75B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3年</w:t>
                  </w:r>
                </w:p>
              </w:tc>
            </w:tr>
            <w:tr w14:paraId="0742D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461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人体成分分析仪</w:t>
                  </w:r>
                </w:p>
              </w:tc>
              <w:tc>
                <w:tcPr>
                  <w:tcW w:w="3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F41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5年</w:t>
                  </w:r>
                </w:p>
              </w:tc>
            </w:tr>
            <w:tr w14:paraId="5556E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68D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移动式空气消毒机</w:t>
                  </w:r>
                </w:p>
              </w:tc>
              <w:tc>
                <w:tcPr>
                  <w:tcW w:w="3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27F6">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3年</w:t>
                  </w:r>
                </w:p>
              </w:tc>
            </w:tr>
            <w:tr w14:paraId="45CAA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A05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手持双目视力筛查仪</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221C">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3年</w:t>
                  </w:r>
                </w:p>
              </w:tc>
            </w:tr>
            <w:tr w14:paraId="648A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B84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医用转运车</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D35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2年</w:t>
                  </w:r>
                </w:p>
              </w:tc>
            </w:tr>
            <w:tr w14:paraId="025BC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025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臭氧消毒机</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464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3年</w:t>
                  </w:r>
                </w:p>
              </w:tc>
            </w:tr>
            <w:tr w14:paraId="23F5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541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石膏电锯</w:t>
                  </w:r>
                </w:p>
              </w:tc>
              <w:tc>
                <w:tcPr>
                  <w:tcW w:w="3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3E1C">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color w:val="auto"/>
                      <w:sz w:val="22"/>
                      <w:szCs w:val="22"/>
                      <w:highlight w:val="none"/>
                    </w:rPr>
                    <w:t>免费保修期</w:t>
                  </w:r>
                  <w:r>
                    <w:rPr>
                      <w:rFonts w:hint="eastAsia" w:ascii="宋体" w:hAnsi="宋体" w:eastAsia="宋体" w:cs="宋体"/>
                      <w:b/>
                      <w:bCs/>
                      <w:i w:val="0"/>
                      <w:iCs w:val="0"/>
                      <w:color w:val="auto"/>
                      <w:kern w:val="0"/>
                      <w:sz w:val="20"/>
                      <w:szCs w:val="20"/>
                      <w:highlight w:val="none"/>
                      <w:u w:val="none"/>
                      <w:lang w:val="en-US" w:eastAsia="zh-CN" w:bidi="ar"/>
                    </w:rPr>
                    <w:t>1年</w:t>
                  </w:r>
                </w:p>
              </w:tc>
            </w:tr>
          </w:tbl>
          <w:p w14:paraId="456AFD5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b/>
                <w:bCs/>
                <w:color w:val="auto"/>
                <w:sz w:val="22"/>
                <w:szCs w:val="22"/>
                <w:highlight w:val="none"/>
              </w:rPr>
            </w:pPr>
          </w:p>
        </w:tc>
      </w:tr>
      <w:tr w14:paraId="2C23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69" w:type="pct"/>
            <w:vMerge w:val="continue"/>
            <w:vAlign w:val="center"/>
          </w:tcPr>
          <w:p w14:paraId="16382EB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06D6AF43">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48CB977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1.2</w:t>
            </w:r>
            <w:r>
              <w:rPr>
                <w:rFonts w:hint="eastAsia" w:ascii="宋体" w:hAnsi="宋体" w:eastAsia="宋体" w:cs="宋体"/>
                <w:b/>
                <w:color w:val="auto"/>
                <w:sz w:val="22"/>
                <w:szCs w:val="22"/>
                <w:highlight w:val="none"/>
              </w:rPr>
              <w:t>各投标人应在投标文件中列明各配件和易耗品的保修期限。</w:t>
            </w:r>
            <w:r>
              <w:rPr>
                <w:rFonts w:hint="eastAsia" w:ascii="宋体" w:hAnsi="宋体" w:eastAsia="宋体" w:cs="宋体"/>
                <w:color w:val="auto"/>
                <w:kern w:val="0"/>
                <w:sz w:val="22"/>
                <w:szCs w:val="22"/>
                <w:highlight w:val="none"/>
              </w:rPr>
              <w:t>由设备制造商提供售后服务，</w:t>
            </w:r>
            <w:r>
              <w:rPr>
                <w:rFonts w:hint="eastAsia" w:ascii="宋体" w:hAnsi="宋体" w:eastAsia="宋体" w:cs="宋体"/>
                <w:color w:val="auto"/>
                <w:kern w:val="0"/>
                <w:sz w:val="22"/>
                <w:szCs w:val="22"/>
                <w:highlight w:val="none"/>
                <w:u w:val="single"/>
              </w:rPr>
              <w:t xml:space="preserve"> 6 </w:t>
            </w:r>
            <w:r>
              <w:rPr>
                <w:rFonts w:hint="eastAsia" w:ascii="宋体" w:hAnsi="宋体" w:eastAsia="宋体" w:cs="宋体"/>
                <w:color w:val="auto"/>
                <w:kern w:val="0"/>
                <w:sz w:val="22"/>
                <w:szCs w:val="22"/>
                <w:highlight w:val="none"/>
              </w:rPr>
              <w:t>小时内响应，</w:t>
            </w:r>
            <w:r>
              <w:rPr>
                <w:rFonts w:hint="eastAsia" w:ascii="宋体" w:hAnsi="宋体" w:eastAsia="宋体" w:cs="宋体"/>
                <w:color w:val="auto"/>
                <w:kern w:val="0"/>
                <w:sz w:val="22"/>
                <w:szCs w:val="22"/>
                <w:highlight w:val="none"/>
                <w:u w:val="single"/>
              </w:rPr>
              <w:t xml:space="preserve"> 24 </w:t>
            </w:r>
            <w:r>
              <w:rPr>
                <w:rFonts w:hint="eastAsia" w:ascii="宋体" w:hAnsi="宋体" w:eastAsia="宋体" w:cs="宋体"/>
                <w:color w:val="auto"/>
                <w:kern w:val="0"/>
                <w:sz w:val="22"/>
                <w:szCs w:val="22"/>
                <w:highlight w:val="none"/>
              </w:rPr>
              <w:t>小时维修到位（不可抗力情况除外）。消耗品和零配件供应及时，特殊情况下可提供备用机。</w:t>
            </w:r>
          </w:p>
        </w:tc>
      </w:tr>
      <w:tr w14:paraId="1661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369" w:type="pct"/>
            <w:vMerge w:val="continue"/>
            <w:vAlign w:val="center"/>
          </w:tcPr>
          <w:p w14:paraId="3B2F260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4C3EC681">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723C9D94">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1.3</w:t>
            </w:r>
            <w:r>
              <w:rPr>
                <w:rFonts w:hint="eastAsia" w:ascii="宋体" w:hAnsi="宋体" w:eastAsia="宋体" w:cs="宋体"/>
                <w:color w:val="auto"/>
                <w:kern w:val="0"/>
                <w:sz w:val="22"/>
                <w:szCs w:val="22"/>
                <w:highlight w:val="none"/>
              </w:rPr>
              <w:t>投标人负责货物的终身维修，保证</w:t>
            </w:r>
            <w:r>
              <w:rPr>
                <w:rFonts w:hint="eastAsia" w:ascii="宋体" w:hAnsi="宋体" w:eastAsia="宋体" w:cs="宋体"/>
                <w:color w:val="auto"/>
                <w:kern w:val="0"/>
                <w:sz w:val="22"/>
                <w:szCs w:val="22"/>
                <w:highlight w:val="none"/>
                <w:u w:val="single"/>
              </w:rPr>
              <w:t xml:space="preserve"> 8 </w:t>
            </w:r>
            <w:r>
              <w:rPr>
                <w:rFonts w:hint="eastAsia" w:ascii="宋体" w:hAnsi="宋体" w:eastAsia="宋体" w:cs="宋体"/>
                <w:color w:val="auto"/>
                <w:kern w:val="0"/>
                <w:sz w:val="22"/>
                <w:szCs w:val="22"/>
                <w:highlight w:val="none"/>
              </w:rPr>
              <w:t>年以上供应维修配件，</w:t>
            </w:r>
            <w:r>
              <w:rPr>
                <w:rFonts w:hint="eastAsia" w:ascii="宋体" w:hAnsi="宋体" w:eastAsia="宋体" w:cs="宋体"/>
                <w:color w:val="auto"/>
                <w:kern w:val="0"/>
                <w:sz w:val="22"/>
                <w:szCs w:val="22"/>
                <w:highlight w:val="none"/>
                <w:u w:val="single"/>
              </w:rPr>
              <w:t xml:space="preserve"> 10 </w:t>
            </w:r>
            <w:r>
              <w:rPr>
                <w:rFonts w:hint="eastAsia" w:ascii="宋体" w:hAnsi="宋体" w:eastAsia="宋体" w:cs="宋体"/>
                <w:color w:val="auto"/>
                <w:kern w:val="0"/>
                <w:sz w:val="22"/>
                <w:szCs w:val="22"/>
                <w:highlight w:val="none"/>
              </w:rPr>
              <w:t>年内免费提供软件升级及网络接口对接服务。</w:t>
            </w:r>
          </w:p>
        </w:tc>
      </w:tr>
      <w:tr w14:paraId="364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jc w:val="center"/>
        </w:trPr>
        <w:tc>
          <w:tcPr>
            <w:tcW w:w="369" w:type="pct"/>
            <w:shd w:val="clear" w:color="auto" w:fill="auto"/>
            <w:tcMar>
              <w:top w:w="0" w:type="dxa"/>
              <w:left w:w="108" w:type="dxa"/>
              <w:bottom w:w="0" w:type="dxa"/>
              <w:right w:w="108" w:type="dxa"/>
            </w:tcMar>
            <w:vAlign w:val="center"/>
          </w:tcPr>
          <w:p w14:paraId="0EB21EBC">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2</w:t>
            </w:r>
          </w:p>
        </w:tc>
        <w:tc>
          <w:tcPr>
            <w:tcW w:w="620" w:type="pct"/>
            <w:gridSpan w:val="2"/>
            <w:shd w:val="clear" w:color="auto" w:fill="auto"/>
            <w:tcMar>
              <w:top w:w="0" w:type="dxa"/>
              <w:left w:w="108" w:type="dxa"/>
              <w:bottom w:w="0" w:type="dxa"/>
              <w:right w:w="108" w:type="dxa"/>
            </w:tcMar>
            <w:vAlign w:val="center"/>
          </w:tcPr>
          <w:p w14:paraId="7F402A6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质量保证</w:t>
            </w:r>
          </w:p>
        </w:tc>
        <w:tc>
          <w:tcPr>
            <w:tcW w:w="4009" w:type="pct"/>
            <w:shd w:val="clear" w:color="auto" w:fill="auto"/>
            <w:tcMar>
              <w:top w:w="0" w:type="dxa"/>
              <w:left w:w="108" w:type="dxa"/>
              <w:bottom w:w="0" w:type="dxa"/>
              <w:right w:w="108" w:type="dxa"/>
            </w:tcMar>
          </w:tcPr>
          <w:p w14:paraId="6BD4D37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2.1</w:t>
            </w:r>
            <w:r>
              <w:rPr>
                <w:rFonts w:hint="eastAsia" w:ascii="宋体" w:hAnsi="宋体" w:eastAsia="宋体" w:cs="宋体"/>
                <w:color w:val="auto"/>
                <w:kern w:val="0"/>
                <w:sz w:val="22"/>
                <w:szCs w:val="22"/>
                <w:highlight w:val="none"/>
              </w:rPr>
              <w:t>在保修期内, 投标人应确保年开机率在95%</w:t>
            </w:r>
            <w:r>
              <w:rPr>
                <w:rFonts w:hint="eastAsia" w:ascii="宋体" w:hAnsi="宋体" w:eastAsia="宋体" w:cs="宋体"/>
                <w:color w:val="auto"/>
                <w:sz w:val="22"/>
                <w:szCs w:val="22"/>
                <w:highlight w:val="none"/>
              </w:rPr>
              <w:t>（含）</w:t>
            </w:r>
            <w:r>
              <w:rPr>
                <w:rFonts w:hint="eastAsia" w:ascii="宋体" w:hAnsi="宋体" w:eastAsia="宋体" w:cs="宋体"/>
                <w:color w:val="auto"/>
                <w:kern w:val="0"/>
                <w:sz w:val="22"/>
                <w:szCs w:val="22"/>
                <w:highlight w:val="none"/>
              </w:rPr>
              <w:t>以上, 若不能达到此开机率，将作以下处理：a. 年开机率在90</w:t>
            </w:r>
            <w:r>
              <w:rPr>
                <w:rFonts w:hint="eastAsia" w:ascii="宋体" w:hAnsi="宋体" w:eastAsia="宋体" w:cs="宋体"/>
                <w:color w:val="auto"/>
                <w:sz w:val="22"/>
                <w:szCs w:val="22"/>
                <w:highlight w:val="none"/>
              </w:rPr>
              <w:t>(含)</w:t>
            </w:r>
            <w:r>
              <w:rPr>
                <w:rFonts w:hint="eastAsia" w:ascii="宋体" w:hAnsi="宋体" w:eastAsia="宋体" w:cs="宋体"/>
                <w:color w:val="auto"/>
                <w:kern w:val="0"/>
                <w:sz w:val="22"/>
                <w:szCs w:val="22"/>
                <w:highlight w:val="none"/>
              </w:rPr>
              <w:t>-95%(不含)之间按一赔</w:t>
            </w:r>
            <w:r>
              <w:rPr>
                <w:rFonts w:hint="eastAsia" w:ascii="宋体" w:hAnsi="宋体" w:eastAsia="宋体" w:cs="宋体"/>
                <w:color w:val="auto"/>
                <w:kern w:val="0"/>
                <w:sz w:val="22"/>
                <w:szCs w:val="22"/>
                <w:highlight w:val="none"/>
                <w:u w:val="single"/>
              </w:rPr>
              <w:t xml:space="preserve"> 二 </w:t>
            </w:r>
            <w:r>
              <w:rPr>
                <w:rFonts w:hint="eastAsia" w:ascii="宋体" w:hAnsi="宋体" w:eastAsia="宋体" w:cs="宋体"/>
                <w:color w:val="auto"/>
                <w:kern w:val="0"/>
                <w:sz w:val="22"/>
                <w:szCs w:val="22"/>
                <w:highlight w:val="none"/>
              </w:rPr>
              <w:t>延长保修期；b. 年开机率在85(含)-90%</w:t>
            </w:r>
            <w:r>
              <w:rPr>
                <w:rFonts w:hint="eastAsia" w:ascii="宋体" w:hAnsi="宋体" w:eastAsia="宋体" w:cs="宋体"/>
                <w:color w:val="auto"/>
                <w:sz w:val="22"/>
                <w:szCs w:val="22"/>
                <w:highlight w:val="none"/>
              </w:rPr>
              <w:t>(不含)</w:t>
            </w:r>
            <w:r>
              <w:rPr>
                <w:rFonts w:hint="eastAsia" w:ascii="宋体" w:hAnsi="宋体" w:eastAsia="宋体" w:cs="宋体"/>
                <w:color w:val="auto"/>
                <w:kern w:val="0"/>
                <w:sz w:val="22"/>
                <w:szCs w:val="22"/>
                <w:highlight w:val="none"/>
              </w:rPr>
              <w:t>之间按一赔</w:t>
            </w:r>
            <w:r>
              <w:rPr>
                <w:rFonts w:hint="eastAsia" w:ascii="宋体" w:hAnsi="宋体" w:eastAsia="宋体" w:cs="宋体"/>
                <w:color w:val="auto"/>
                <w:kern w:val="0"/>
                <w:sz w:val="22"/>
                <w:szCs w:val="22"/>
                <w:highlight w:val="none"/>
                <w:u w:val="single"/>
              </w:rPr>
              <w:t xml:space="preserve"> 五 </w:t>
            </w:r>
            <w:r>
              <w:rPr>
                <w:rFonts w:hint="eastAsia" w:ascii="宋体" w:hAnsi="宋体" w:eastAsia="宋体" w:cs="宋体"/>
                <w:color w:val="auto"/>
                <w:kern w:val="0"/>
                <w:sz w:val="22"/>
                <w:szCs w:val="22"/>
                <w:highlight w:val="none"/>
              </w:rPr>
              <w:t>延长保修期；c. 年开机率低于85%(不含)，投标人应无条件更换新机，并重新计算保修期，以及赔偿用户的直接经济损失和间接经济损失。注：年开机率=（365-停机天数）/365）</w:t>
            </w:r>
          </w:p>
        </w:tc>
      </w:tr>
      <w:tr w14:paraId="7935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jc w:val="center"/>
        </w:trPr>
        <w:tc>
          <w:tcPr>
            <w:tcW w:w="5000" w:type="pct"/>
            <w:gridSpan w:val="4"/>
            <w:shd w:val="clear" w:color="auto" w:fill="auto"/>
            <w:tcMar>
              <w:top w:w="0" w:type="dxa"/>
              <w:left w:w="108" w:type="dxa"/>
              <w:bottom w:w="0" w:type="dxa"/>
              <w:right w:w="108" w:type="dxa"/>
            </w:tcMar>
          </w:tcPr>
          <w:p w14:paraId="120A2E6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（二）免费保修期外售后服务要求</w:t>
            </w:r>
          </w:p>
        </w:tc>
      </w:tr>
      <w:tr w14:paraId="2790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restart"/>
            <w:shd w:val="clear" w:color="auto" w:fill="auto"/>
            <w:tcMar>
              <w:top w:w="0" w:type="dxa"/>
              <w:left w:w="108" w:type="dxa"/>
              <w:bottom w:w="0" w:type="dxa"/>
              <w:right w:w="108" w:type="dxa"/>
            </w:tcMar>
            <w:vAlign w:val="center"/>
          </w:tcPr>
          <w:p w14:paraId="6A6D67EA">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1</w:t>
            </w:r>
          </w:p>
        </w:tc>
        <w:tc>
          <w:tcPr>
            <w:tcW w:w="620" w:type="pct"/>
            <w:gridSpan w:val="2"/>
            <w:vMerge w:val="restart"/>
            <w:shd w:val="clear" w:color="auto" w:fill="auto"/>
            <w:tcMar>
              <w:top w:w="0" w:type="dxa"/>
              <w:left w:w="108" w:type="dxa"/>
              <w:bottom w:w="0" w:type="dxa"/>
              <w:right w:w="108" w:type="dxa"/>
            </w:tcMar>
            <w:vAlign w:val="center"/>
          </w:tcPr>
          <w:p w14:paraId="23F0874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维修零配件、消耗品和延续保修合同的报价</w:t>
            </w:r>
          </w:p>
        </w:tc>
        <w:tc>
          <w:tcPr>
            <w:tcW w:w="4009" w:type="pct"/>
            <w:shd w:val="clear" w:color="auto" w:fill="auto"/>
            <w:tcMar>
              <w:top w:w="0" w:type="dxa"/>
              <w:left w:w="108" w:type="dxa"/>
              <w:bottom w:w="0" w:type="dxa"/>
              <w:right w:w="108" w:type="dxa"/>
            </w:tcMar>
          </w:tcPr>
          <w:p w14:paraId="11EAD8C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1.1</w:t>
            </w:r>
            <w:r>
              <w:rPr>
                <w:rFonts w:hint="eastAsia" w:ascii="宋体" w:hAnsi="宋体" w:eastAsia="宋体" w:cs="宋体"/>
                <w:color w:val="auto"/>
                <w:kern w:val="0"/>
                <w:sz w:val="22"/>
                <w:szCs w:val="22"/>
                <w:highlight w:val="none"/>
              </w:rPr>
              <w:t>由设备制造商提供售后服务，</w:t>
            </w:r>
            <w:r>
              <w:rPr>
                <w:rFonts w:hint="eastAsia" w:ascii="宋体" w:hAnsi="宋体" w:eastAsia="宋体" w:cs="宋体"/>
                <w:color w:val="auto"/>
                <w:kern w:val="0"/>
                <w:sz w:val="22"/>
                <w:szCs w:val="22"/>
                <w:highlight w:val="none"/>
                <w:u w:val="single"/>
              </w:rPr>
              <w:t xml:space="preserve"> 6 </w:t>
            </w:r>
            <w:r>
              <w:rPr>
                <w:rFonts w:hint="eastAsia" w:ascii="宋体" w:hAnsi="宋体" w:eastAsia="宋体" w:cs="宋体"/>
                <w:color w:val="auto"/>
                <w:kern w:val="0"/>
                <w:sz w:val="22"/>
                <w:szCs w:val="22"/>
                <w:highlight w:val="none"/>
              </w:rPr>
              <w:t>小时内响应，</w:t>
            </w:r>
            <w:r>
              <w:rPr>
                <w:rFonts w:hint="eastAsia" w:ascii="宋体" w:hAnsi="宋体" w:eastAsia="宋体" w:cs="宋体"/>
                <w:color w:val="auto"/>
                <w:kern w:val="0"/>
                <w:sz w:val="22"/>
                <w:szCs w:val="22"/>
                <w:highlight w:val="none"/>
                <w:u w:val="single"/>
              </w:rPr>
              <w:t xml:space="preserve"> 24 </w:t>
            </w:r>
            <w:r>
              <w:rPr>
                <w:rFonts w:hint="eastAsia" w:ascii="宋体" w:hAnsi="宋体" w:eastAsia="宋体" w:cs="宋体"/>
                <w:color w:val="auto"/>
                <w:kern w:val="0"/>
                <w:sz w:val="22"/>
                <w:szCs w:val="22"/>
                <w:highlight w:val="none"/>
              </w:rPr>
              <w:t>小时维修到位（不可抗力情况除外）。消耗品和零配件供应及时，特殊情况下可提供备用机。</w:t>
            </w:r>
          </w:p>
        </w:tc>
      </w:tr>
      <w:tr w14:paraId="572A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73FC2DA7">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6A60334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71EFEAB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val="0"/>
                <w:bCs/>
                <w:color w:val="auto"/>
                <w:kern w:val="0"/>
                <w:sz w:val="22"/>
                <w:szCs w:val="22"/>
                <w:highlight w:val="none"/>
              </w:rPr>
              <w:t>1.2保修期满后，投标人应以优惠价供应维修零配件、消耗品和延续保修合同。价格最高的前5项零配件、消耗品和延续保修合同的报价明细应填写于《零配件、消耗品和延续保修合同报价明细清单》中，若未按“《零配件、消耗品和延续保修合同报价明细清单》”要求填写将按负偏离处理。</w:t>
            </w:r>
          </w:p>
        </w:tc>
      </w:tr>
      <w:tr w14:paraId="16EF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2107AD04">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1470EBF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1C4765D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1.3</w:t>
            </w:r>
            <w:r>
              <w:rPr>
                <w:rFonts w:hint="eastAsia" w:ascii="宋体" w:hAnsi="宋体" w:eastAsia="宋体" w:cs="宋体"/>
                <w:color w:val="auto"/>
                <w:kern w:val="0"/>
                <w:sz w:val="22"/>
                <w:szCs w:val="22"/>
                <w:highlight w:val="none"/>
              </w:rPr>
              <w:t>采购人可与投标人就优惠价进行谈判，但优惠价不得高于投标人在投标文件的《零配件、消耗品和延续保修合同报价明清单》中承诺的维修零配件、消耗品和延续保修合同的报价。</w:t>
            </w:r>
          </w:p>
        </w:tc>
      </w:tr>
      <w:tr w14:paraId="63E8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2088C59B">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006F17D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63B63FF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1.4</w:t>
            </w:r>
            <w:r>
              <w:rPr>
                <w:rFonts w:hint="eastAsia" w:ascii="宋体" w:hAnsi="宋体" w:eastAsia="宋体" w:cs="宋体"/>
                <w:color w:val="auto"/>
                <w:kern w:val="0"/>
                <w:sz w:val="22"/>
                <w:szCs w:val="22"/>
                <w:highlight w:val="none"/>
              </w:rPr>
              <w:t>设备制造商维修的货物经采购人验收合格，且设备制造商提供维修专用发票后，采购人支付维修费用。</w:t>
            </w:r>
          </w:p>
        </w:tc>
      </w:tr>
      <w:tr w14:paraId="3152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8" w:hRule="atLeast"/>
          <w:jc w:val="center"/>
        </w:trPr>
        <w:tc>
          <w:tcPr>
            <w:tcW w:w="369" w:type="pct"/>
            <w:vMerge w:val="continue"/>
            <w:vAlign w:val="center"/>
          </w:tcPr>
          <w:p w14:paraId="6913F27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2701B85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6C70F67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1.5</w:t>
            </w:r>
            <w:r>
              <w:rPr>
                <w:rFonts w:hint="eastAsia" w:ascii="宋体" w:hAnsi="宋体" w:eastAsia="宋体" w:cs="宋体"/>
                <w:color w:val="auto"/>
                <w:kern w:val="0"/>
                <w:sz w:val="22"/>
                <w:szCs w:val="22"/>
                <w:highlight w:val="none"/>
              </w:rPr>
              <w:t>投标人及设备制造商不得以任何理由不按时进行维修，不得要求采购人购买所谓“保修服务”（即：不论设备有无故障先买保修服务），不得在设备中嵌设任何不利于采购人使用与维修设备的障碍。</w:t>
            </w:r>
          </w:p>
        </w:tc>
      </w:tr>
      <w:tr w14:paraId="7C37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5000" w:type="pct"/>
            <w:gridSpan w:val="4"/>
            <w:shd w:val="clear" w:color="auto" w:fill="auto"/>
            <w:tcMar>
              <w:top w:w="0" w:type="dxa"/>
              <w:left w:w="108" w:type="dxa"/>
              <w:bottom w:w="0" w:type="dxa"/>
              <w:right w:w="108" w:type="dxa"/>
            </w:tcMar>
          </w:tcPr>
          <w:p w14:paraId="38399F8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（三）其他商务要求</w:t>
            </w:r>
          </w:p>
        </w:tc>
      </w:tr>
      <w:tr w14:paraId="1144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restart"/>
            <w:shd w:val="clear" w:color="auto" w:fill="auto"/>
            <w:tcMar>
              <w:top w:w="0" w:type="dxa"/>
              <w:left w:w="108" w:type="dxa"/>
              <w:bottom w:w="0" w:type="dxa"/>
              <w:right w:w="108" w:type="dxa"/>
            </w:tcMar>
            <w:vAlign w:val="center"/>
          </w:tcPr>
          <w:p w14:paraId="1B28B332">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1</w:t>
            </w:r>
          </w:p>
        </w:tc>
        <w:tc>
          <w:tcPr>
            <w:tcW w:w="620" w:type="pct"/>
            <w:gridSpan w:val="2"/>
            <w:vMerge w:val="restart"/>
            <w:shd w:val="clear" w:color="auto" w:fill="auto"/>
            <w:tcMar>
              <w:top w:w="0" w:type="dxa"/>
              <w:left w:w="108" w:type="dxa"/>
              <w:bottom w:w="0" w:type="dxa"/>
              <w:right w:w="108" w:type="dxa"/>
            </w:tcMar>
            <w:vAlign w:val="center"/>
          </w:tcPr>
          <w:p w14:paraId="1A066802">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交货要求</w:t>
            </w:r>
          </w:p>
        </w:tc>
        <w:tc>
          <w:tcPr>
            <w:tcW w:w="4009" w:type="pct"/>
            <w:shd w:val="clear" w:color="auto" w:fill="auto"/>
            <w:tcMar>
              <w:top w:w="0" w:type="dxa"/>
              <w:left w:w="108" w:type="dxa"/>
              <w:bottom w:w="0" w:type="dxa"/>
              <w:right w:w="108" w:type="dxa"/>
            </w:tcMar>
          </w:tcPr>
          <w:p w14:paraId="377DB1C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val="0"/>
                <w:color w:val="auto"/>
                <w:sz w:val="22"/>
                <w:szCs w:val="22"/>
                <w:highlight w:val="none"/>
              </w:rPr>
              <w:t>★</w:t>
            </w:r>
            <w:r>
              <w:rPr>
                <w:rFonts w:hint="eastAsia" w:ascii="宋体" w:hAnsi="宋体" w:eastAsia="宋体" w:cs="宋体"/>
                <w:b w:val="0"/>
                <w:bCs/>
                <w:color w:val="auto"/>
                <w:kern w:val="0"/>
                <w:sz w:val="22"/>
                <w:szCs w:val="22"/>
                <w:highlight w:val="none"/>
              </w:rPr>
              <w:t>1.1</w:t>
            </w:r>
            <w:r>
              <w:rPr>
                <w:rFonts w:hint="eastAsia" w:ascii="宋体" w:hAnsi="宋体" w:eastAsia="宋体" w:cs="宋体"/>
                <w:b w:val="0"/>
                <w:bCs/>
                <w:color w:val="auto"/>
                <w:kern w:val="0"/>
                <w:sz w:val="22"/>
                <w:szCs w:val="22"/>
                <w:highlight w:val="none"/>
                <w:lang w:val="en-US" w:eastAsia="zh-CN"/>
              </w:rPr>
              <w:t>除采购方另有要求外，投标</w:t>
            </w:r>
            <w:r>
              <w:rPr>
                <w:rFonts w:hint="eastAsia" w:ascii="宋体" w:hAnsi="宋体" w:eastAsia="宋体" w:cs="宋体"/>
                <w:b w:val="0"/>
                <w:bCs/>
                <w:color w:val="auto"/>
                <w:kern w:val="0"/>
                <w:sz w:val="22"/>
                <w:szCs w:val="22"/>
                <w:highlight w:val="none"/>
              </w:rPr>
              <w:t>人在签订合同之日起</w:t>
            </w:r>
            <w:r>
              <w:rPr>
                <w:rFonts w:hint="eastAsia" w:ascii="宋体" w:hAnsi="宋体" w:cs="宋体"/>
                <w:b w:val="0"/>
                <w:bCs/>
                <w:color w:val="auto"/>
                <w:kern w:val="0"/>
                <w:sz w:val="22"/>
                <w:szCs w:val="22"/>
                <w:highlight w:val="none"/>
                <w:u w:val="single"/>
                <w:lang w:val="en-US" w:eastAsia="zh-CN"/>
              </w:rPr>
              <w:t>30</w:t>
            </w:r>
            <w:r>
              <w:rPr>
                <w:rFonts w:hint="eastAsia" w:ascii="宋体" w:hAnsi="宋体" w:eastAsia="宋体" w:cs="宋体"/>
                <w:b w:val="0"/>
                <w:bCs/>
                <w:color w:val="auto"/>
                <w:sz w:val="22"/>
                <w:szCs w:val="22"/>
                <w:highlight w:val="none"/>
              </w:rPr>
              <w:t>日历日</w:t>
            </w:r>
            <w:r>
              <w:rPr>
                <w:rFonts w:hint="eastAsia" w:ascii="宋体" w:hAnsi="宋体" w:eastAsia="宋体" w:cs="宋体"/>
                <w:b w:val="0"/>
                <w:bCs/>
                <w:color w:val="auto"/>
                <w:kern w:val="0"/>
                <w:sz w:val="22"/>
                <w:szCs w:val="22"/>
                <w:highlight w:val="none"/>
              </w:rPr>
              <w:t>内交货。</w:t>
            </w:r>
          </w:p>
        </w:tc>
      </w:tr>
      <w:tr w14:paraId="40A9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369" w:type="pct"/>
            <w:vMerge w:val="continue"/>
            <w:vAlign w:val="center"/>
          </w:tcPr>
          <w:p w14:paraId="73CEF05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3D66737B">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7CD425F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1.2</w:t>
            </w:r>
            <w:r>
              <w:rPr>
                <w:rFonts w:hint="eastAsia" w:ascii="宋体" w:hAnsi="宋体" w:eastAsia="宋体" w:cs="宋体"/>
                <w:color w:val="auto"/>
                <w:kern w:val="0"/>
                <w:sz w:val="22"/>
                <w:szCs w:val="22"/>
                <w:highlight w:val="none"/>
              </w:rPr>
              <w:t>投标人应提供货物的技术文件，包括但不限于设备配置清单、产品说明书、图纸、操作手册、维护手册、质量保证文件、服务指南等，所有外文资料须提供中文译本。文件应随货物一并交付至采购人指定地点。</w:t>
            </w:r>
          </w:p>
        </w:tc>
      </w:tr>
      <w:tr w14:paraId="31F9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369" w:type="pct"/>
            <w:vMerge w:val="continue"/>
            <w:vAlign w:val="center"/>
          </w:tcPr>
          <w:p w14:paraId="411F99C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197645BA">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7DB8F16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spacing w:val="-3"/>
                <w:kern w:val="0"/>
                <w:sz w:val="22"/>
                <w:szCs w:val="22"/>
                <w:highlight w:val="none"/>
              </w:rPr>
              <w:t>1.3</w:t>
            </w:r>
            <w:r>
              <w:rPr>
                <w:rFonts w:hint="eastAsia" w:ascii="宋体" w:hAnsi="宋体" w:eastAsia="宋体" w:cs="宋体"/>
                <w:color w:val="auto"/>
                <w:spacing w:val="-3"/>
                <w:kern w:val="0"/>
                <w:sz w:val="22"/>
                <w:szCs w:val="22"/>
                <w:highlight w:val="none"/>
              </w:rPr>
              <w:t>提供的货物应为全新、经检验合格的产品。产品如需要计量检定的应提供相关计量检定部门出具的合法检定报告，交货时提供扫描件。其中，进口设备应具有</w:t>
            </w:r>
            <w:r>
              <w:rPr>
                <w:rFonts w:hint="eastAsia" w:ascii="宋体" w:hAnsi="宋体" w:eastAsia="宋体" w:cs="宋体"/>
                <w:color w:val="auto"/>
                <w:kern w:val="0"/>
                <w:sz w:val="22"/>
                <w:szCs w:val="22"/>
                <w:highlight w:val="none"/>
              </w:rPr>
              <w:t>报关证明</w:t>
            </w:r>
            <w:r>
              <w:rPr>
                <w:rFonts w:hint="eastAsia" w:ascii="宋体" w:hAnsi="宋体" w:eastAsia="宋体" w:cs="宋体"/>
                <w:color w:val="auto"/>
                <w:spacing w:val="-3"/>
                <w:kern w:val="0"/>
                <w:sz w:val="22"/>
                <w:szCs w:val="22"/>
                <w:highlight w:val="none"/>
              </w:rPr>
              <w:t>文件、</w:t>
            </w:r>
            <w:r>
              <w:rPr>
                <w:rFonts w:hint="eastAsia" w:ascii="宋体" w:hAnsi="宋体" w:eastAsia="宋体" w:cs="宋体"/>
                <w:color w:val="auto"/>
                <w:kern w:val="0"/>
                <w:sz w:val="22"/>
                <w:szCs w:val="22"/>
                <w:highlight w:val="none"/>
              </w:rPr>
              <w:t>原产地证明和</w:t>
            </w:r>
            <w:r>
              <w:rPr>
                <w:rFonts w:hint="eastAsia" w:ascii="宋体" w:hAnsi="宋体" w:eastAsia="宋体" w:cs="宋体"/>
                <w:color w:val="auto"/>
                <w:spacing w:val="-3"/>
                <w:kern w:val="0"/>
                <w:sz w:val="22"/>
                <w:szCs w:val="22"/>
                <w:highlight w:val="none"/>
              </w:rPr>
              <w:t>商检合格证明文件。</w:t>
            </w:r>
          </w:p>
        </w:tc>
      </w:tr>
      <w:tr w14:paraId="6F40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restart"/>
            <w:shd w:val="clear" w:color="auto" w:fill="auto"/>
            <w:tcMar>
              <w:top w:w="0" w:type="dxa"/>
              <w:left w:w="108" w:type="dxa"/>
              <w:bottom w:w="0" w:type="dxa"/>
              <w:right w:w="108" w:type="dxa"/>
            </w:tcMar>
            <w:vAlign w:val="center"/>
          </w:tcPr>
          <w:p w14:paraId="0382F27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2</w:t>
            </w:r>
          </w:p>
        </w:tc>
        <w:tc>
          <w:tcPr>
            <w:tcW w:w="620" w:type="pct"/>
            <w:gridSpan w:val="2"/>
            <w:vMerge w:val="restart"/>
            <w:shd w:val="clear" w:color="auto" w:fill="auto"/>
            <w:tcMar>
              <w:top w:w="0" w:type="dxa"/>
              <w:left w:w="108" w:type="dxa"/>
              <w:bottom w:w="0" w:type="dxa"/>
              <w:right w:w="108" w:type="dxa"/>
            </w:tcMar>
            <w:vAlign w:val="center"/>
          </w:tcPr>
          <w:p w14:paraId="3034959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运输、安装和验收</w:t>
            </w:r>
          </w:p>
        </w:tc>
        <w:tc>
          <w:tcPr>
            <w:tcW w:w="4009" w:type="pct"/>
            <w:shd w:val="clear" w:color="auto" w:fill="auto"/>
            <w:tcMar>
              <w:top w:w="0" w:type="dxa"/>
              <w:left w:w="108" w:type="dxa"/>
              <w:bottom w:w="0" w:type="dxa"/>
              <w:right w:w="108" w:type="dxa"/>
            </w:tcMar>
          </w:tcPr>
          <w:p w14:paraId="48DE280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2.1</w:t>
            </w:r>
            <w:r>
              <w:rPr>
                <w:rFonts w:hint="eastAsia" w:ascii="宋体" w:hAnsi="宋体" w:eastAsia="宋体" w:cs="宋体"/>
                <w:color w:val="auto"/>
                <w:kern w:val="0"/>
                <w:sz w:val="22"/>
                <w:szCs w:val="22"/>
                <w:highlight w:val="none"/>
              </w:rPr>
              <w:t>投标人负责将货物安全无损运抵采购人指定地点,并承担设备的包装、运输、保险、装卸、安装调试</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包含安装过程中涉及的所有施工、改造等工程相关事宜</w:t>
            </w:r>
            <w:r>
              <w:rPr>
                <w:rFonts w:hint="eastAsia" w:ascii="宋体" w:hAnsi="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、培训、商检及计量检测、关税（如有）、增值税和进口代理（如有）等费用。</w:t>
            </w:r>
          </w:p>
        </w:tc>
      </w:tr>
      <w:tr w14:paraId="2CA2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66A66F67">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05A65C4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754ABF4C">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2.2</w:t>
            </w:r>
            <w:r>
              <w:rPr>
                <w:rFonts w:hint="eastAsia" w:ascii="宋体" w:hAnsi="宋体" w:eastAsia="宋体" w:cs="宋体"/>
                <w:color w:val="auto"/>
                <w:kern w:val="0"/>
                <w:sz w:val="22"/>
                <w:szCs w:val="22"/>
                <w:highlight w:val="none"/>
              </w:rPr>
              <w:t>采购人需要检验或测试货物，以确认货物是否符合合同规格的要求，并且不承担额外的费用。如果发现所交货物与投标文件中所承诺的不符或存在质量、技术缺陷等，采购人可以拒绝接收该货物，投标人应在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eastAsia="宋体" w:cs="宋体"/>
                <w:color w:val="auto"/>
                <w:kern w:val="0"/>
                <w:sz w:val="22"/>
                <w:szCs w:val="22"/>
                <w:highlight w:val="none"/>
                <w:u w:val="single"/>
              </w:rPr>
              <w:t xml:space="preserve"> 7 </w:t>
            </w:r>
            <w:r>
              <w:rPr>
                <w:rFonts w:hint="eastAsia" w:ascii="宋体" w:hAnsi="宋体" w:eastAsia="宋体" w:cs="宋体"/>
                <w:color w:val="auto"/>
                <w:kern w:val="0"/>
                <w:sz w:val="22"/>
                <w:szCs w:val="22"/>
                <w:highlight w:val="none"/>
              </w:rPr>
              <w:t>天内采取补足、更换或退货等措施,以满足规格的要求，由此发生的一切损失和费用由投标人承担。</w:t>
            </w:r>
          </w:p>
        </w:tc>
      </w:tr>
      <w:tr w14:paraId="32DB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26D1188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2CA40F8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0DD66D43">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spacing w:val="-3"/>
                <w:kern w:val="0"/>
                <w:sz w:val="22"/>
                <w:szCs w:val="22"/>
                <w:highlight w:val="none"/>
              </w:rPr>
              <w:t>2.3</w:t>
            </w:r>
            <w:r>
              <w:rPr>
                <w:rFonts w:hint="eastAsia" w:ascii="宋体" w:hAnsi="宋体" w:eastAsia="宋体" w:cs="宋体"/>
                <w:color w:val="auto"/>
                <w:spacing w:val="-3"/>
                <w:kern w:val="0"/>
                <w:sz w:val="22"/>
                <w:szCs w:val="22"/>
                <w:highlight w:val="none"/>
              </w:rPr>
              <w:t>投标人负责货物的现场安装和调试,提供货物安装、调试和维修所需的专用工具和辅助材料。投标人应在货物运至指定地点后一周内开始安装调试，并在</w:t>
            </w:r>
            <w:r>
              <w:rPr>
                <w:rFonts w:hint="eastAsia" w:ascii="宋体" w:hAnsi="宋体" w:eastAsia="宋体" w:cs="宋体"/>
                <w:color w:val="auto"/>
                <w:kern w:val="0"/>
                <w:sz w:val="22"/>
                <w:szCs w:val="22"/>
                <w:highlight w:val="none"/>
                <w:u w:val="single"/>
              </w:rPr>
              <w:t xml:space="preserve"> 7 </w:t>
            </w:r>
            <w:r>
              <w:rPr>
                <w:rFonts w:hint="eastAsia" w:ascii="宋体" w:hAnsi="宋体" w:eastAsia="宋体" w:cs="宋体"/>
                <w:color w:val="auto"/>
                <w:spacing w:val="-3"/>
                <w:kern w:val="0"/>
                <w:sz w:val="22"/>
                <w:szCs w:val="22"/>
                <w:highlight w:val="none"/>
              </w:rPr>
              <w:t>天内安装调试完毕。</w:t>
            </w:r>
          </w:p>
        </w:tc>
      </w:tr>
      <w:tr w14:paraId="476A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48FD5E6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45669411">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241C90F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spacing w:val="-3"/>
                <w:kern w:val="0"/>
                <w:sz w:val="22"/>
                <w:szCs w:val="22"/>
                <w:highlight w:val="none"/>
              </w:rPr>
              <w:t>2.4</w:t>
            </w:r>
            <w:r>
              <w:rPr>
                <w:rFonts w:hint="eastAsia" w:ascii="宋体" w:hAnsi="宋体" w:eastAsia="宋体" w:cs="宋体"/>
                <w:color w:val="auto"/>
                <w:spacing w:val="-3"/>
                <w:kern w:val="0"/>
                <w:sz w:val="22"/>
                <w:szCs w:val="22"/>
                <w:highlight w:val="none"/>
              </w:rPr>
              <w:t>由投标人代表和采购人组成验收小组对产品进行验收。验收标准按照国家规定标准执行。经检验设备正常运作后签署验收报告，产品保修期自验收合格之日起算。</w:t>
            </w:r>
          </w:p>
        </w:tc>
      </w:tr>
      <w:tr w14:paraId="7EA7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369" w:type="pct"/>
            <w:shd w:val="clear" w:color="auto" w:fill="auto"/>
            <w:tcMar>
              <w:top w:w="0" w:type="dxa"/>
              <w:left w:w="108" w:type="dxa"/>
              <w:bottom w:w="0" w:type="dxa"/>
              <w:right w:w="108" w:type="dxa"/>
            </w:tcMar>
            <w:vAlign w:val="center"/>
          </w:tcPr>
          <w:p w14:paraId="7EEF9369">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3</w:t>
            </w:r>
          </w:p>
        </w:tc>
        <w:tc>
          <w:tcPr>
            <w:tcW w:w="620" w:type="pct"/>
            <w:gridSpan w:val="2"/>
            <w:shd w:val="clear" w:color="auto" w:fill="auto"/>
            <w:tcMar>
              <w:top w:w="0" w:type="dxa"/>
              <w:left w:w="108" w:type="dxa"/>
              <w:bottom w:w="0" w:type="dxa"/>
              <w:right w:w="108" w:type="dxa"/>
            </w:tcMar>
            <w:vAlign w:val="center"/>
          </w:tcPr>
          <w:p w14:paraId="7DB6462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培训</w:t>
            </w:r>
          </w:p>
        </w:tc>
        <w:tc>
          <w:tcPr>
            <w:tcW w:w="4009" w:type="pct"/>
            <w:shd w:val="clear" w:color="auto" w:fill="auto"/>
            <w:tcMar>
              <w:top w:w="0" w:type="dxa"/>
              <w:left w:w="108" w:type="dxa"/>
              <w:bottom w:w="0" w:type="dxa"/>
              <w:right w:w="108" w:type="dxa"/>
            </w:tcMar>
          </w:tcPr>
          <w:p w14:paraId="46C036C3">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3.1</w:t>
            </w:r>
            <w:r>
              <w:rPr>
                <w:rFonts w:hint="eastAsia" w:ascii="宋体" w:hAnsi="宋体" w:eastAsia="宋体" w:cs="宋体"/>
                <w:color w:val="auto"/>
                <w:kern w:val="0"/>
                <w:sz w:val="22"/>
                <w:szCs w:val="22"/>
                <w:highlight w:val="none"/>
              </w:rPr>
              <w:t>中标人应派专业技术人员免费对采购单位指定人员进行定期培训及指导，直至其完全掌握设备的基本故障处理技术。</w:t>
            </w:r>
          </w:p>
        </w:tc>
      </w:tr>
      <w:tr w14:paraId="6F37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restart"/>
            <w:shd w:val="clear" w:color="auto" w:fill="auto"/>
            <w:tcMar>
              <w:top w:w="0" w:type="dxa"/>
              <w:left w:w="108" w:type="dxa"/>
              <w:bottom w:w="0" w:type="dxa"/>
              <w:right w:w="108" w:type="dxa"/>
            </w:tcMar>
            <w:vAlign w:val="center"/>
          </w:tcPr>
          <w:p w14:paraId="0EEA108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4</w:t>
            </w:r>
          </w:p>
        </w:tc>
        <w:tc>
          <w:tcPr>
            <w:tcW w:w="620" w:type="pct"/>
            <w:gridSpan w:val="2"/>
            <w:vMerge w:val="restart"/>
            <w:shd w:val="clear" w:color="auto" w:fill="auto"/>
            <w:tcMar>
              <w:top w:w="0" w:type="dxa"/>
              <w:left w:w="108" w:type="dxa"/>
              <w:bottom w:w="0" w:type="dxa"/>
              <w:right w:w="108" w:type="dxa"/>
            </w:tcMar>
            <w:vAlign w:val="center"/>
          </w:tcPr>
          <w:p w14:paraId="56C500EE">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知识产权</w:t>
            </w:r>
          </w:p>
        </w:tc>
        <w:tc>
          <w:tcPr>
            <w:tcW w:w="4009" w:type="pct"/>
            <w:shd w:val="clear" w:color="auto" w:fill="auto"/>
            <w:tcMar>
              <w:top w:w="0" w:type="dxa"/>
              <w:left w:w="108" w:type="dxa"/>
              <w:bottom w:w="0" w:type="dxa"/>
              <w:right w:w="108" w:type="dxa"/>
            </w:tcMar>
          </w:tcPr>
          <w:p w14:paraId="0D4CA7A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4.1</w:t>
            </w:r>
            <w:r>
              <w:rPr>
                <w:rFonts w:hint="eastAsia" w:ascii="宋体" w:hAnsi="宋体" w:eastAsia="宋体" w:cs="宋体"/>
                <w:color w:val="auto"/>
                <w:kern w:val="0"/>
                <w:sz w:val="22"/>
                <w:szCs w:val="22"/>
                <w:highlight w:val="none"/>
              </w:rPr>
              <w:t>投标人应保证采购人在使用该货物或其任何一部分时，免受第三方提出的侵犯其专利权、商标权、著作权或其它知识产权的起诉。投标人保证所提供软件的合法性，所发生的任何知识产权纠纷与采购人无关。若因为知识产权纠纷造成的一切损害赔偿及损失由投标人承担，包括但不限于实际损失、预期损失和对方要求赔偿损失及支出的律师费、交通费和差旅费等。</w:t>
            </w:r>
          </w:p>
        </w:tc>
      </w:tr>
      <w:tr w14:paraId="7E33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369" w:type="pct"/>
            <w:vMerge w:val="continue"/>
            <w:vAlign w:val="center"/>
          </w:tcPr>
          <w:p w14:paraId="70C5710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38E1E2BB">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07783834">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4.2</w:t>
            </w:r>
            <w:r>
              <w:rPr>
                <w:rFonts w:hint="eastAsia" w:ascii="宋体" w:hAnsi="宋体" w:eastAsia="宋体" w:cs="宋体"/>
                <w:color w:val="auto"/>
                <w:kern w:val="0"/>
                <w:sz w:val="22"/>
                <w:szCs w:val="22"/>
                <w:highlight w:val="none"/>
              </w:rPr>
              <w:t>采购人购买产品后，有权对该产品与其他设备进行配套、整合或适当改进，而免受侵犯专利权的起诉。</w:t>
            </w:r>
          </w:p>
        </w:tc>
      </w:tr>
      <w:tr w14:paraId="4590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atLeast"/>
          <w:jc w:val="center"/>
        </w:trPr>
        <w:tc>
          <w:tcPr>
            <w:tcW w:w="369" w:type="pct"/>
            <w:shd w:val="clear" w:color="auto" w:fill="auto"/>
            <w:tcMar>
              <w:top w:w="0" w:type="dxa"/>
              <w:left w:w="108" w:type="dxa"/>
              <w:bottom w:w="0" w:type="dxa"/>
              <w:right w:w="108" w:type="dxa"/>
            </w:tcMar>
            <w:vAlign w:val="center"/>
          </w:tcPr>
          <w:p w14:paraId="46998D9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5</w:t>
            </w:r>
          </w:p>
        </w:tc>
        <w:tc>
          <w:tcPr>
            <w:tcW w:w="620" w:type="pct"/>
            <w:gridSpan w:val="2"/>
            <w:shd w:val="clear" w:color="auto" w:fill="auto"/>
            <w:tcMar>
              <w:top w:w="0" w:type="dxa"/>
              <w:left w:w="108" w:type="dxa"/>
              <w:bottom w:w="0" w:type="dxa"/>
              <w:right w:w="108" w:type="dxa"/>
            </w:tcMar>
            <w:vAlign w:val="center"/>
          </w:tcPr>
          <w:p w14:paraId="244BF369">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付款方式</w:t>
            </w:r>
          </w:p>
        </w:tc>
        <w:tc>
          <w:tcPr>
            <w:tcW w:w="4009" w:type="pct"/>
            <w:shd w:val="clear" w:color="auto" w:fill="auto"/>
            <w:tcMar>
              <w:top w:w="0" w:type="dxa"/>
              <w:left w:w="108" w:type="dxa"/>
              <w:bottom w:w="0" w:type="dxa"/>
              <w:right w:w="108" w:type="dxa"/>
            </w:tcMar>
          </w:tcPr>
          <w:p w14:paraId="019E45C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★货到指定地点、安装验收合格并提供全额发票后，采购人支付合同金额100%。</w:t>
            </w:r>
          </w:p>
        </w:tc>
      </w:tr>
      <w:tr w14:paraId="7DD1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369" w:type="pct"/>
            <w:vMerge w:val="restart"/>
            <w:shd w:val="clear" w:color="auto" w:fill="auto"/>
            <w:tcMar>
              <w:top w:w="0" w:type="dxa"/>
              <w:left w:w="108" w:type="dxa"/>
              <w:bottom w:w="0" w:type="dxa"/>
              <w:right w:w="108" w:type="dxa"/>
            </w:tcMar>
            <w:vAlign w:val="center"/>
          </w:tcPr>
          <w:p w14:paraId="523A836B">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6</w:t>
            </w:r>
          </w:p>
        </w:tc>
        <w:tc>
          <w:tcPr>
            <w:tcW w:w="620" w:type="pct"/>
            <w:gridSpan w:val="2"/>
            <w:vMerge w:val="restart"/>
            <w:shd w:val="clear" w:color="auto" w:fill="auto"/>
            <w:tcMar>
              <w:top w:w="0" w:type="dxa"/>
              <w:left w:w="108" w:type="dxa"/>
              <w:bottom w:w="0" w:type="dxa"/>
              <w:right w:w="108" w:type="dxa"/>
            </w:tcMar>
            <w:vAlign w:val="center"/>
          </w:tcPr>
          <w:p w14:paraId="0DC7BD86">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违约责任</w:t>
            </w:r>
          </w:p>
        </w:tc>
        <w:tc>
          <w:tcPr>
            <w:tcW w:w="4009" w:type="pct"/>
            <w:shd w:val="clear" w:color="auto" w:fill="auto"/>
            <w:tcMar>
              <w:top w:w="0" w:type="dxa"/>
              <w:left w:w="108" w:type="dxa"/>
              <w:bottom w:w="0" w:type="dxa"/>
              <w:right w:w="108" w:type="dxa"/>
            </w:tcMar>
          </w:tcPr>
          <w:p w14:paraId="28C09591">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6.1</w:t>
            </w:r>
            <w:r>
              <w:rPr>
                <w:rFonts w:hint="eastAsia" w:ascii="宋体" w:hAnsi="宋体" w:eastAsia="宋体" w:cs="宋体"/>
                <w:color w:val="auto"/>
                <w:kern w:val="0"/>
                <w:sz w:val="22"/>
                <w:szCs w:val="22"/>
                <w:highlight w:val="none"/>
              </w:rPr>
              <w:t>中标人不能交货的，需偿付不能交货部分货款的 15%的违约金并按主管部门相关规定处理。</w:t>
            </w:r>
          </w:p>
        </w:tc>
      </w:tr>
      <w:tr w14:paraId="0099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 w:hRule="atLeast"/>
          <w:jc w:val="center"/>
        </w:trPr>
        <w:tc>
          <w:tcPr>
            <w:tcW w:w="369" w:type="pct"/>
            <w:vMerge w:val="continue"/>
            <w:shd w:val="clear" w:color="auto" w:fill="auto"/>
            <w:tcMar>
              <w:top w:w="0" w:type="dxa"/>
              <w:left w:w="108" w:type="dxa"/>
              <w:bottom w:w="0" w:type="dxa"/>
              <w:right w:w="108" w:type="dxa"/>
            </w:tcMar>
            <w:vAlign w:val="center"/>
          </w:tcPr>
          <w:p w14:paraId="4A3AC8AF">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bCs/>
                <w:color w:val="auto"/>
                <w:kern w:val="0"/>
                <w:sz w:val="22"/>
                <w:szCs w:val="22"/>
                <w:highlight w:val="none"/>
              </w:rPr>
            </w:pPr>
          </w:p>
        </w:tc>
        <w:tc>
          <w:tcPr>
            <w:tcW w:w="620" w:type="pct"/>
            <w:gridSpan w:val="2"/>
            <w:vMerge w:val="continue"/>
            <w:shd w:val="clear" w:color="auto" w:fill="auto"/>
            <w:tcMar>
              <w:top w:w="0" w:type="dxa"/>
              <w:left w:w="108" w:type="dxa"/>
              <w:bottom w:w="0" w:type="dxa"/>
              <w:right w:w="108" w:type="dxa"/>
            </w:tcMar>
            <w:vAlign w:val="center"/>
          </w:tcPr>
          <w:p w14:paraId="773252A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bCs/>
                <w:color w:val="auto"/>
                <w:kern w:val="0"/>
                <w:sz w:val="22"/>
                <w:szCs w:val="22"/>
                <w:highlight w:val="none"/>
              </w:rPr>
            </w:pPr>
          </w:p>
        </w:tc>
        <w:tc>
          <w:tcPr>
            <w:tcW w:w="4009" w:type="pct"/>
            <w:shd w:val="clear" w:color="auto" w:fill="auto"/>
            <w:tcMar>
              <w:top w:w="0" w:type="dxa"/>
              <w:left w:w="108" w:type="dxa"/>
              <w:bottom w:w="0" w:type="dxa"/>
              <w:right w:w="108" w:type="dxa"/>
            </w:tcMar>
          </w:tcPr>
          <w:p w14:paraId="3C473906">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6.2</w:t>
            </w:r>
            <w:r>
              <w:rPr>
                <w:rFonts w:hint="eastAsia" w:ascii="宋体" w:hAnsi="宋体" w:eastAsia="宋体" w:cs="宋体"/>
                <w:color w:val="auto"/>
                <w:kern w:val="0"/>
                <w:sz w:val="22"/>
                <w:szCs w:val="22"/>
                <w:highlight w:val="none"/>
              </w:rPr>
              <w:t>中标人逾期交货的，将被没收履约保证金并按主管部门相关规定处理。投标人向采购人每日偿付设备款千分之十五的违约金。投标人超过交货期限30日仍未交货，采购人有权解除合同。</w:t>
            </w:r>
          </w:p>
        </w:tc>
      </w:tr>
      <w:tr w14:paraId="79EB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Merge w:val="continue"/>
            <w:vAlign w:val="center"/>
          </w:tcPr>
          <w:p w14:paraId="3F055C3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2DBC585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69A6A50C">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6.3</w:t>
            </w:r>
            <w:r>
              <w:rPr>
                <w:rFonts w:hint="eastAsia" w:ascii="宋体" w:hAnsi="宋体" w:eastAsia="宋体" w:cs="宋体"/>
                <w:color w:val="auto"/>
                <w:kern w:val="0"/>
                <w:sz w:val="22"/>
                <w:szCs w:val="22"/>
                <w:highlight w:val="none"/>
              </w:rPr>
              <w:t>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r>
      <w:tr w14:paraId="6326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69" w:type="pct"/>
            <w:vMerge w:val="continue"/>
            <w:vAlign w:val="center"/>
          </w:tcPr>
          <w:p w14:paraId="6CC735E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620" w:type="pct"/>
            <w:gridSpan w:val="2"/>
            <w:vMerge w:val="continue"/>
            <w:vAlign w:val="center"/>
          </w:tcPr>
          <w:p w14:paraId="5DFC129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p>
        </w:tc>
        <w:tc>
          <w:tcPr>
            <w:tcW w:w="4009" w:type="pct"/>
            <w:shd w:val="clear" w:color="auto" w:fill="auto"/>
            <w:tcMar>
              <w:top w:w="0" w:type="dxa"/>
              <w:left w:w="108" w:type="dxa"/>
              <w:bottom w:w="0" w:type="dxa"/>
              <w:right w:w="108" w:type="dxa"/>
            </w:tcMar>
          </w:tcPr>
          <w:p w14:paraId="51533556">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6.4</w:t>
            </w:r>
            <w:r>
              <w:rPr>
                <w:rFonts w:hint="eastAsia" w:ascii="宋体" w:hAnsi="宋体" w:eastAsia="宋体" w:cs="宋体"/>
                <w:color w:val="auto"/>
                <w:kern w:val="0"/>
                <w:sz w:val="22"/>
                <w:szCs w:val="22"/>
                <w:highlight w:val="none"/>
              </w:rPr>
              <w:t>违约金先从由投标人履约保证金中扣除，若有不足部分则由中标人补齐。</w:t>
            </w:r>
          </w:p>
        </w:tc>
      </w:tr>
      <w:tr w14:paraId="46EA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369" w:type="pct"/>
            <w:vAlign w:val="center"/>
          </w:tcPr>
          <w:p w14:paraId="77A04E68">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cs="宋体"/>
                <w:b/>
                <w:color w:val="auto"/>
                <w:sz w:val="22"/>
                <w:szCs w:val="22"/>
                <w:highlight w:val="none"/>
                <w:lang w:val="en-US" w:eastAsia="zh-CN"/>
              </w:rPr>
              <w:t>7</w:t>
            </w:r>
          </w:p>
        </w:tc>
        <w:tc>
          <w:tcPr>
            <w:tcW w:w="620" w:type="pct"/>
            <w:gridSpan w:val="2"/>
            <w:vAlign w:val="center"/>
          </w:tcPr>
          <w:p w14:paraId="18C40D7C">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rPr>
              <w:t>其他</w:t>
            </w:r>
          </w:p>
        </w:tc>
        <w:tc>
          <w:tcPr>
            <w:tcW w:w="4009" w:type="pct"/>
            <w:shd w:val="clear" w:color="auto" w:fill="auto"/>
            <w:tcMar>
              <w:top w:w="0" w:type="dxa"/>
              <w:left w:w="108" w:type="dxa"/>
              <w:bottom w:w="0" w:type="dxa"/>
              <w:right w:w="108" w:type="dxa"/>
            </w:tcMar>
            <w:vAlign w:val="top"/>
          </w:tcPr>
          <w:p w14:paraId="23ED558A">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cs="宋体"/>
                <w:b/>
                <w:color w:val="auto"/>
                <w:sz w:val="22"/>
                <w:szCs w:val="22"/>
                <w:highlight w:val="none"/>
                <w:lang w:val="en-US" w:eastAsia="zh-CN"/>
              </w:rPr>
              <w:t>7</w:t>
            </w:r>
            <w:r>
              <w:rPr>
                <w:rFonts w:hint="eastAsia" w:ascii="宋体" w:hAnsi="宋体" w:eastAsia="宋体" w:cs="宋体"/>
                <w:b/>
                <w:color w:val="auto"/>
                <w:sz w:val="22"/>
                <w:szCs w:val="22"/>
                <w:highlight w:val="none"/>
              </w:rPr>
              <w:t>.</w:t>
            </w:r>
            <w:r>
              <w:rPr>
                <w:rFonts w:hint="eastAsia" w:ascii="宋体" w:hAnsi="宋体" w:eastAsia="宋体" w:cs="宋体"/>
                <w:b/>
                <w:color w:val="auto"/>
                <w:kern w:val="0"/>
                <w:sz w:val="22"/>
                <w:szCs w:val="22"/>
                <w:highlight w:val="none"/>
              </w:rPr>
              <w:t>1</w:t>
            </w:r>
            <w:r>
              <w:rPr>
                <w:rFonts w:hint="eastAsia" w:ascii="宋体" w:hAnsi="宋体" w:eastAsia="宋体" w:cs="宋体"/>
                <w:color w:val="auto"/>
                <w:kern w:val="0"/>
                <w:sz w:val="22"/>
                <w:szCs w:val="22"/>
                <w:highlight w:val="none"/>
              </w:rPr>
              <w:t>投标人应按其投标文件中的承诺，进行其他售后服务工作。</w:t>
            </w:r>
          </w:p>
        </w:tc>
      </w:tr>
    </w:tbl>
    <w:p w14:paraId="408207EC">
      <w:pPr>
        <w:keepNext/>
        <w:keepLines/>
        <w:numPr>
          <w:ilvl w:val="0"/>
          <w:numId w:val="5"/>
        </w:numPr>
        <w:adjustRightInd w:val="0"/>
        <w:spacing w:before="260" w:after="260"/>
        <w:jc w:val="center"/>
        <w:textAlignment w:val="baseline"/>
        <w:outlineLvl w:val="1"/>
        <w:rPr>
          <w:rFonts w:ascii="Arial" w:hAnsi="Arial"/>
          <w:b/>
          <w:color w:val="auto"/>
          <w:kern w:val="0"/>
          <w:sz w:val="28"/>
          <w:szCs w:val="28"/>
          <w:highlight w:val="none"/>
        </w:rPr>
      </w:pPr>
      <w:r>
        <w:rPr>
          <w:rFonts w:ascii="Arial" w:hAnsi="Arial"/>
          <w:b/>
          <w:color w:val="auto"/>
          <w:kern w:val="0"/>
          <w:sz w:val="28"/>
          <w:szCs w:val="28"/>
          <w:highlight w:val="none"/>
        </w:rPr>
        <w:t>政策导向</w:t>
      </w:r>
    </w:p>
    <w:p w14:paraId="61A2E990">
      <w:pPr>
        <w:spacing w:line="360" w:lineRule="auto"/>
        <w:ind w:firstLine="440" w:firstLineChars="200"/>
        <w:rPr>
          <w:rFonts w:ascii="宋体" w:hAnsi="宋体" w:cs="宋体"/>
          <w:color w:val="auto"/>
          <w:sz w:val="22"/>
          <w:highlight w:val="none"/>
        </w:rPr>
      </w:pPr>
      <w:r>
        <w:rPr>
          <w:rFonts w:hint="eastAsia" w:ascii="宋体" w:hAnsi="宋体" w:cs="宋体"/>
          <w:color w:val="auto"/>
          <w:sz w:val="22"/>
          <w:highlight w:val="none"/>
        </w:rPr>
        <w:t>关于享受优惠政策的主体及价格扣除比例</w:t>
      </w:r>
    </w:p>
    <w:p w14:paraId="68EAED64">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（1）投标人提供的货物全部均由优惠主体制造，则对其投标总价给予</w:t>
      </w:r>
      <w:r>
        <w:rPr>
          <w:rFonts w:ascii="宋体" w:hAnsi="宋体" w:cs="宋体"/>
          <w:color w:val="auto"/>
          <w:sz w:val="22"/>
          <w:highlight w:val="none"/>
          <w:u w:val="single"/>
        </w:rPr>
        <w:t>10</w:t>
      </w:r>
      <w:r>
        <w:rPr>
          <w:rFonts w:hint="eastAsia" w:ascii="宋体" w:hAnsi="宋体" w:cs="宋体"/>
          <w:b/>
          <w:bCs/>
          <w:color w:val="auto"/>
          <w:sz w:val="22"/>
          <w:highlight w:val="none"/>
          <w:u w:val="single"/>
        </w:rPr>
        <w:t>%</w:t>
      </w:r>
      <w:r>
        <w:rPr>
          <w:rFonts w:hint="eastAsia" w:ascii="宋体" w:hAnsi="宋体" w:cs="宋体"/>
          <w:color w:val="auto"/>
          <w:sz w:val="22"/>
          <w:highlight w:val="none"/>
        </w:rPr>
        <w:t>的扣除，用扣除后的价格参与评审。满足多项优惠政策的企业，不重复享受多项价格扣除政策。</w:t>
      </w:r>
    </w:p>
    <w:p w14:paraId="3CCCAA20">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制造是指货物由优惠主体生产且使用该优惠主体商号或者注册商标；投标人提供的货物既有优惠主体制造货物，又有非优惠主体制造货物的，不给予价格扣除。</w:t>
      </w:r>
    </w:p>
    <w:p w14:paraId="70EC812C">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（2）根据《工业和信息化部、国家统计局、国家发展和改革委员会、财政部关于印发中小企业划型标准规定的通知》（工信部联企业〔2011〕300 号），本项目采购标的（货物）对应的中小企业划分标准所属行业为</w:t>
      </w:r>
      <w:r>
        <w:rPr>
          <w:rFonts w:hint="eastAsia" w:ascii="宋体" w:hAnsi="宋体" w:cs="宋体"/>
          <w:color w:val="auto"/>
          <w:sz w:val="22"/>
          <w:highlight w:val="none"/>
          <w:u w:val="single"/>
        </w:rPr>
        <w:t>工业</w:t>
      </w:r>
      <w:r>
        <w:rPr>
          <w:rFonts w:hint="eastAsia" w:ascii="宋体" w:hAnsi="宋体" w:cs="宋体"/>
          <w:color w:val="auto"/>
          <w:sz w:val="22"/>
          <w:highlight w:val="none"/>
        </w:rPr>
        <w:t>。</w:t>
      </w:r>
    </w:p>
    <w:p w14:paraId="0F996BE1">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三章“投标文件格式、附件”中“中小企业、残疾人福利性单位和监狱企业政策导向”章节提供的格式）。</w:t>
      </w:r>
    </w:p>
    <w:p w14:paraId="35A005EA">
      <w:pPr>
        <w:spacing w:line="360" w:lineRule="auto"/>
        <w:ind w:firstLine="440" w:firstLineChars="200"/>
        <w:rPr>
          <w:rFonts w:hint="eastAsia" w:ascii="宋体" w:hAnsi="宋体" w:cs="宋体"/>
          <w:color w:val="auto"/>
          <w:sz w:val="22"/>
          <w:highlight w:val="none"/>
        </w:rPr>
        <w:sectPr>
          <w:footerReference r:id="rId6" w:type="first"/>
          <w:footerReference r:id="rId5" w:type="default"/>
          <w:pgSz w:w="11906" w:h="16838"/>
          <w:pgMar w:top="1440" w:right="1800" w:bottom="1440" w:left="1800" w:header="850" w:footer="992" w:gutter="0"/>
          <w:pgNumType w:fmt="numberInDash"/>
          <w:cols w:space="720" w:num="1"/>
          <w:titlePg/>
          <w:docGrid w:type="lines" w:linePitch="312" w:charSpace="0"/>
        </w:sectPr>
      </w:pPr>
      <w:r>
        <w:rPr>
          <w:rFonts w:hint="eastAsia" w:ascii="宋体" w:hAnsi="宋体" w:cs="宋体"/>
          <w:color w:val="auto"/>
          <w:sz w:val="22"/>
          <w:highlight w:val="none"/>
        </w:rPr>
        <w:t>（4）享受价格扣除获得政府采购合同的，小微企业不得将合同分包给大中型企业。</w:t>
      </w:r>
    </w:p>
    <w:p w14:paraId="01C57308">
      <w:pPr>
        <w:pStyle w:val="42"/>
        <w:rPr>
          <w:color w:val="auto"/>
          <w:highlight w:val="none"/>
        </w:rPr>
      </w:pPr>
    </w:p>
    <w:p w14:paraId="7317F8CB">
      <w:pPr>
        <w:spacing w:line="360" w:lineRule="auto"/>
        <w:ind w:firstLine="440" w:firstLineChars="200"/>
        <w:rPr>
          <w:color w:val="auto"/>
          <w:sz w:val="22"/>
          <w:highlight w:val="none"/>
        </w:rPr>
      </w:pPr>
    </w:p>
    <w:p w14:paraId="1AA1B470">
      <w:pPr>
        <w:rPr>
          <w:color w:val="auto"/>
          <w:highlight w:val="none"/>
        </w:rPr>
      </w:pPr>
    </w:p>
    <w:p w14:paraId="30CB48C5">
      <w:pPr>
        <w:rPr>
          <w:color w:val="auto"/>
          <w:highlight w:val="none"/>
        </w:rPr>
      </w:pPr>
    </w:p>
    <w:p w14:paraId="1D8BEFF7">
      <w:pPr>
        <w:rPr>
          <w:color w:val="auto"/>
          <w:highlight w:val="none"/>
        </w:rPr>
      </w:pPr>
    </w:p>
    <w:p w14:paraId="6A575376">
      <w:pPr>
        <w:rPr>
          <w:color w:val="auto"/>
          <w:highlight w:val="none"/>
        </w:rPr>
      </w:pPr>
    </w:p>
    <w:p w14:paraId="7903058C">
      <w:pPr>
        <w:rPr>
          <w:color w:val="auto"/>
          <w:highlight w:val="none"/>
        </w:rPr>
      </w:pPr>
    </w:p>
    <w:p w14:paraId="4790175A">
      <w:pPr>
        <w:rPr>
          <w:color w:val="auto"/>
          <w:highlight w:val="none"/>
        </w:rPr>
      </w:pPr>
    </w:p>
    <w:p w14:paraId="41E2A2B4">
      <w:pPr>
        <w:rPr>
          <w:color w:val="auto"/>
          <w:highlight w:val="none"/>
        </w:rPr>
      </w:pPr>
    </w:p>
    <w:p w14:paraId="706CCEA4">
      <w:pPr>
        <w:rPr>
          <w:color w:val="auto"/>
          <w:highlight w:val="none"/>
        </w:rPr>
      </w:pPr>
    </w:p>
    <w:p w14:paraId="4B92509B">
      <w:pPr>
        <w:rPr>
          <w:color w:val="auto"/>
          <w:highlight w:val="none"/>
        </w:rPr>
      </w:pPr>
    </w:p>
    <w:p w14:paraId="30AD0AC9">
      <w:pPr>
        <w:rPr>
          <w:color w:val="auto"/>
          <w:highlight w:val="none"/>
        </w:rPr>
      </w:pPr>
    </w:p>
    <w:p w14:paraId="5E619646">
      <w:pPr>
        <w:rPr>
          <w:color w:val="auto"/>
          <w:highlight w:val="none"/>
        </w:rPr>
      </w:pPr>
    </w:p>
    <w:p w14:paraId="4A05AA29">
      <w:pPr>
        <w:rPr>
          <w:color w:val="auto"/>
          <w:highlight w:val="none"/>
        </w:rPr>
      </w:pPr>
    </w:p>
    <w:p w14:paraId="2F54DAC6">
      <w:pPr>
        <w:rPr>
          <w:color w:val="auto"/>
          <w:highlight w:val="none"/>
        </w:rPr>
      </w:pPr>
    </w:p>
    <w:p w14:paraId="34D64AF0">
      <w:pPr>
        <w:rPr>
          <w:color w:val="auto"/>
          <w:highlight w:val="none"/>
        </w:rPr>
      </w:pPr>
    </w:p>
    <w:p w14:paraId="52C6B10C">
      <w:pPr>
        <w:rPr>
          <w:color w:val="auto"/>
          <w:highlight w:val="none"/>
        </w:rPr>
      </w:pPr>
    </w:p>
    <w:p w14:paraId="38241144">
      <w:pPr>
        <w:rPr>
          <w:color w:val="auto"/>
          <w:highlight w:val="none"/>
        </w:rPr>
      </w:pPr>
    </w:p>
    <w:p w14:paraId="610622F1">
      <w:pPr>
        <w:pStyle w:val="3"/>
        <w:rPr>
          <w:color w:val="auto"/>
          <w:sz w:val="32"/>
          <w:highlight w:val="none"/>
        </w:rPr>
      </w:pPr>
      <w:bookmarkStart w:id="30" w:name="bt附件"/>
      <w:bookmarkEnd w:id="30"/>
      <w:bookmarkStart w:id="31" w:name="bt投标书"/>
      <w:bookmarkEnd w:id="31"/>
      <w:r>
        <w:rPr>
          <w:rFonts w:hint="eastAsia"/>
          <w:bCs/>
          <w:color w:val="auto"/>
          <w:kern w:val="28"/>
          <w:sz w:val="40"/>
          <w:szCs w:val="40"/>
          <w:highlight w:val="none"/>
        </w:rPr>
        <w:t>第三章 投标</w:t>
      </w:r>
      <w:r>
        <w:rPr>
          <w:bCs/>
          <w:color w:val="auto"/>
          <w:kern w:val="28"/>
          <w:sz w:val="40"/>
          <w:szCs w:val="40"/>
          <w:highlight w:val="none"/>
        </w:rPr>
        <w:t>文件格式</w:t>
      </w:r>
      <w:r>
        <w:rPr>
          <w:color w:val="auto"/>
          <w:sz w:val="32"/>
          <w:highlight w:val="none"/>
        </w:rPr>
        <w:br w:type="page"/>
      </w:r>
    </w:p>
    <w:p w14:paraId="566E12F9">
      <w:pPr>
        <w:pStyle w:val="3"/>
        <w:rPr>
          <w:bCs/>
          <w:color w:val="auto"/>
          <w:kern w:val="28"/>
          <w:sz w:val="44"/>
          <w:szCs w:val="44"/>
          <w:highlight w:val="none"/>
        </w:rPr>
      </w:pPr>
      <w:r>
        <w:rPr>
          <w:rFonts w:hint="eastAsia"/>
          <w:bCs/>
          <w:color w:val="auto"/>
          <w:sz w:val="32"/>
          <w:szCs w:val="32"/>
          <w:highlight w:val="none"/>
        </w:rPr>
        <w:t>附件1：开标文件</w:t>
      </w:r>
    </w:p>
    <w:p w14:paraId="6EC3F24D">
      <w:pPr>
        <w:widowControl/>
        <w:spacing w:after="160" w:line="240" w:lineRule="exact"/>
        <w:jc w:val="left"/>
        <w:rPr>
          <w:rFonts w:eastAsia="仿宋_GB2312"/>
          <w:color w:val="auto"/>
          <w:kern w:val="0"/>
          <w:sz w:val="24"/>
          <w:szCs w:val="20"/>
          <w:highlight w:val="none"/>
        </w:rPr>
      </w:pPr>
    </w:p>
    <w:p w14:paraId="6869EF85">
      <w:pPr>
        <w:pStyle w:val="125"/>
        <w:rPr>
          <w:rFonts w:ascii="Times New Roman" w:hAnsi="Times New Roman"/>
          <w:color w:val="auto"/>
          <w:highlight w:val="none"/>
          <w:lang w:eastAsia="zh-CN"/>
        </w:rPr>
      </w:pPr>
    </w:p>
    <w:p w14:paraId="70B9C9CB">
      <w:pPr>
        <w:pStyle w:val="125"/>
        <w:rPr>
          <w:rFonts w:ascii="Times New Roman" w:hAnsi="Times New Roman"/>
          <w:color w:val="auto"/>
          <w:highlight w:val="none"/>
          <w:lang w:eastAsia="zh-CN"/>
        </w:rPr>
      </w:pPr>
    </w:p>
    <w:p w14:paraId="0DD61D35">
      <w:pPr>
        <w:jc w:val="center"/>
        <w:rPr>
          <w:rFonts w:hint="default" w:eastAsia="宋体"/>
          <w:color w:val="auto"/>
          <w:sz w:val="44"/>
          <w:szCs w:val="44"/>
          <w:highlight w:val="none"/>
          <w:lang w:val="en-US" w:eastAsia="zh-CN"/>
        </w:rPr>
      </w:pPr>
      <w:r>
        <w:rPr>
          <w:rFonts w:hint="eastAsia"/>
          <w:color w:val="auto"/>
          <w:sz w:val="44"/>
          <w:szCs w:val="44"/>
          <w:highlight w:val="none"/>
          <w:lang w:val="en-US" w:eastAsia="zh-CN"/>
        </w:rPr>
        <w:t>深圳市儿童医院通用类设备一批项目(重新招标)</w:t>
      </w:r>
    </w:p>
    <w:p w14:paraId="7BEA9CFA">
      <w:pPr>
        <w:jc w:val="center"/>
        <w:rPr>
          <w:color w:val="auto"/>
          <w:sz w:val="44"/>
          <w:szCs w:val="44"/>
          <w:highlight w:val="none"/>
        </w:rPr>
      </w:pPr>
      <w:r>
        <w:rPr>
          <w:color w:val="auto"/>
          <w:sz w:val="44"/>
          <w:szCs w:val="44"/>
          <w:highlight w:val="none"/>
        </w:rPr>
        <w:t>（唱标信封）</w:t>
      </w:r>
    </w:p>
    <w:p w14:paraId="2EEDD733">
      <w:pPr>
        <w:jc w:val="center"/>
        <w:rPr>
          <w:color w:val="auto"/>
          <w:sz w:val="44"/>
          <w:szCs w:val="44"/>
          <w:highlight w:val="none"/>
        </w:rPr>
      </w:pPr>
    </w:p>
    <w:p w14:paraId="772E4C5F">
      <w:pPr>
        <w:jc w:val="center"/>
        <w:rPr>
          <w:color w:val="auto"/>
          <w:sz w:val="44"/>
          <w:szCs w:val="44"/>
          <w:highlight w:val="none"/>
        </w:rPr>
      </w:pPr>
    </w:p>
    <w:p w14:paraId="6363E3CE">
      <w:pPr>
        <w:jc w:val="center"/>
        <w:rPr>
          <w:color w:val="auto"/>
          <w:sz w:val="44"/>
          <w:szCs w:val="44"/>
          <w:highlight w:val="none"/>
        </w:rPr>
      </w:pPr>
    </w:p>
    <w:p w14:paraId="28C433C9">
      <w:pPr>
        <w:jc w:val="center"/>
        <w:rPr>
          <w:color w:val="auto"/>
          <w:sz w:val="44"/>
          <w:szCs w:val="44"/>
          <w:highlight w:val="none"/>
        </w:rPr>
      </w:pPr>
    </w:p>
    <w:p w14:paraId="043C4759">
      <w:pPr>
        <w:rPr>
          <w:color w:val="auto"/>
          <w:sz w:val="44"/>
          <w:szCs w:val="44"/>
          <w:highlight w:val="none"/>
        </w:rPr>
      </w:pPr>
    </w:p>
    <w:p w14:paraId="7386E370">
      <w:pPr>
        <w:pStyle w:val="42"/>
        <w:ind w:firstLine="880"/>
        <w:rPr>
          <w:color w:val="auto"/>
          <w:sz w:val="44"/>
          <w:szCs w:val="44"/>
          <w:highlight w:val="none"/>
        </w:rPr>
      </w:pPr>
    </w:p>
    <w:p w14:paraId="3CA0B220">
      <w:pPr>
        <w:pStyle w:val="42"/>
        <w:ind w:firstLine="880"/>
        <w:rPr>
          <w:color w:val="auto"/>
          <w:sz w:val="44"/>
          <w:szCs w:val="44"/>
          <w:highlight w:val="none"/>
        </w:rPr>
      </w:pPr>
    </w:p>
    <w:p w14:paraId="75400FC2">
      <w:pPr>
        <w:spacing w:line="480" w:lineRule="auto"/>
        <w:ind w:firstLine="1260" w:firstLineChars="450"/>
        <w:rPr>
          <w:color w:val="auto"/>
          <w:sz w:val="28"/>
          <w:szCs w:val="28"/>
          <w:highlight w:val="none"/>
          <w:u w:val="single"/>
        </w:rPr>
      </w:pPr>
      <w:r>
        <w:rPr>
          <w:color w:val="auto"/>
          <w:sz w:val="28"/>
          <w:szCs w:val="28"/>
          <w:highlight w:val="none"/>
        </w:rPr>
        <w:t>项目编号：_____________________________</w:t>
      </w:r>
    </w:p>
    <w:p w14:paraId="14438539">
      <w:pPr>
        <w:spacing w:line="480" w:lineRule="auto"/>
        <w:ind w:firstLine="1260" w:firstLineChars="450"/>
        <w:rPr>
          <w:color w:val="auto"/>
          <w:sz w:val="28"/>
          <w:szCs w:val="28"/>
          <w:highlight w:val="none"/>
          <w:u w:val="single"/>
        </w:rPr>
      </w:pPr>
      <w:r>
        <w:rPr>
          <w:color w:val="auto"/>
          <w:sz w:val="28"/>
          <w:szCs w:val="28"/>
          <w:highlight w:val="none"/>
        </w:rPr>
        <w:t>供应商（盖章）：___________________________</w:t>
      </w:r>
    </w:p>
    <w:p w14:paraId="72038F77">
      <w:pPr>
        <w:spacing w:line="480" w:lineRule="auto"/>
        <w:ind w:firstLine="1260" w:firstLineChars="450"/>
        <w:rPr>
          <w:color w:val="auto"/>
          <w:sz w:val="28"/>
          <w:szCs w:val="28"/>
          <w:highlight w:val="none"/>
        </w:rPr>
      </w:pPr>
      <w:r>
        <w:rPr>
          <w:color w:val="auto"/>
          <w:sz w:val="28"/>
          <w:szCs w:val="28"/>
          <w:highlight w:val="none"/>
        </w:rPr>
        <w:t>法定代表人或授权委托人签字：__________________</w:t>
      </w:r>
    </w:p>
    <w:p w14:paraId="6599809C">
      <w:pPr>
        <w:spacing w:line="360" w:lineRule="auto"/>
        <w:ind w:firstLine="1260" w:firstLineChars="450"/>
        <w:rPr>
          <w:color w:val="auto"/>
          <w:sz w:val="28"/>
          <w:szCs w:val="28"/>
          <w:highlight w:val="none"/>
        </w:rPr>
      </w:pPr>
      <w:r>
        <w:rPr>
          <w:color w:val="auto"/>
          <w:sz w:val="28"/>
          <w:szCs w:val="28"/>
          <w:highlight w:val="none"/>
        </w:rPr>
        <w:t>投标日期：____________年_____月______日</w:t>
      </w:r>
    </w:p>
    <w:p w14:paraId="3E0A4233">
      <w:pPr>
        <w:spacing w:line="360" w:lineRule="auto"/>
        <w:ind w:firstLine="1400" w:firstLineChars="500"/>
        <w:rPr>
          <w:color w:val="auto"/>
          <w:sz w:val="28"/>
          <w:szCs w:val="28"/>
          <w:highlight w:val="none"/>
        </w:rPr>
      </w:pPr>
    </w:p>
    <w:p w14:paraId="3FEA4F5F">
      <w:pPr>
        <w:spacing w:line="360" w:lineRule="auto"/>
        <w:ind w:firstLine="1400" w:firstLineChars="500"/>
        <w:rPr>
          <w:color w:val="auto"/>
          <w:sz w:val="28"/>
          <w:szCs w:val="28"/>
          <w:highlight w:val="none"/>
        </w:rPr>
      </w:pPr>
    </w:p>
    <w:p w14:paraId="4FCC0DDC">
      <w:pPr>
        <w:spacing w:line="360" w:lineRule="auto"/>
        <w:ind w:firstLine="1400" w:firstLineChars="500"/>
        <w:rPr>
          <w:color w:val="auto"/>
          <w:sz w:val="28"/>
          <w:szCs w:val="28"/>
          <w:highlight w:val="none"/>
        </w:rPr>
      </w:pPr>
    </w:p>
    <w:p w14:paraId="759CA337">
      <w:pPr>
        <w:pStyle w:val="4"/>
        <w:spacing w:before="120" w:after="120"/>
        <w:jc w:val="center"/>
        <w:rPr>
          <w:bCs/>
          <w:snapToGrid w:val="0"/>
          <w:color w:val="auto"/>
          <w:sz w:val="18"/>
          <w:szCs w:val="18"/>
          <w:highlight w:val="none"/>
        </w:rPr>
      </w:pPr>
      <w:r>
        <w:rPr>
          <w:color w:val="auto"/>
          <w:highlight w:val="none"/>
        </w:rPr>
        <w:br w:type="page"/>
      </w:r>
      <w:r>
        <w:rPr>
          <w:b/>
          <w:bCs/>
          <w:color w:val="auto"/>
          <w:szCs w:val="28"/>
          <w:highlight w:val="none"/>
        </w:rPr>
        <w:t>一、</w:t>
      </w:r>
      <w:r>
        <w:rPr>
          <w:rFonts w:hint="eastAsia" w:ascii="宋体" w:hAnsi="宋体" w:cs="宋体"/>
          <w:color w:val="auto"/>
          <w:kern w:val="2"/>
          <w:sz w:val="32"/>
          <w:highlight w:val="none"/>
        </w:rPr>
        <w:t>开标一览表</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4"/>
        <w:gridCol w:w="3083"/>
        <w:gridCol w:w="3682"/>
      </w:tblGrid>
      <w:tr w14:paraId="3C9E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029" w:type="pct"/>
            <w:vAlign w:val="center"/>
          </w:tcPr>
          <w:p w14:paraId="153D69F9">
            <w:pPr>
              <w:spacing w:line="360" w:lineRule="exact"/>
              <w:jc w:val="center"/>
              <w:rPr>
                <w:snapToGrid w:val="0"/>
                <w:color w:val="auto"/>
                <w:kern w:val="0"/>
                <w:sz w:val="22"/>
                <w:highlight w:val="none"/>
              </w:rPr>
            </w:pPr>
            <w:r>
              <w:rPr>
                <w:bCs/>
                <w:snapToGrid w:val="0"/>
                <w:color w:val="auto"/>
                <w:kern w:val="0"/>
                <w:sz w:val="22"/>
                <w:highlight w:val="none"/>
              </w:rPr>
              <w:t>项目编号</w:t>
            </w:r>
          </w:p>
        </w:tc>
        <w:tc>
          <w:tcPr>
            <w:tcW w:w="1809" w:type="pct"/>
            <w:vAlign w:val="center"/>
          </w:tcPr>
          <w:p w14:paraId="709E7A21">
            <w:pPr>
              <w:spacing w:line="360" w:lineRule="exact"/>
              <w:jc w:val="center"/>
              <w:rPr>
                <w:snapToGrid w:val="0"/>
                <w:color w:val="auto"/>
                <w:kern w:val="0"/>
                <w:sz w:val="22"/>
                <w:highlight w:val="none"/>
              </w:rPr>
            </w:pPr>
            <w:r>
              <w:rPr>
                <w:snapToGrid w:val="0"/>
                <w:color w:val="auto"/>
                <w:kern w:val="0"/>
                <w:sz w:val="22"/>
                <w:highlight w:val="none"/>
              </w:rPr>
              <w:t>项目名称</w:t>
            </w:r>
          </w:p>
        </w:tc>
        <w:tc>
          <w:tcPr>
            <w:tcW w:w="2160" w:type="pct"/>
            <w:vAlign w:val="center"/>
          </w:tcPr>
          <w:p w14:paraId="47D5CA8B">
            <w:pPr>
              <w:spacing w:line="360" w:lineRule="exact"/>
              <w:jc w:val="center"/>
              <w:rPr>
                <w:snapToGrid w:val="0"/>
                <w:color w:val="auto"/>
                <w:kern w:val="0"/>
                <w:sz w:val="22"/>
                <w:highlight w:val="none"/>
              </w:rPr>
            </w:pPr>
            <w:r>
              <w:rPr>
                <w:snapToGrid w:val="0"/>
                <w:color w:val="auto"/>
                <w:kern w:val="0"/>
                <w:sz w:val="22"/>
                <w:highlight w:val="none"/>
              </w:rPr>
              <w:t>投标报价（元）</w:t>
            </w:r>
          </w:p>
        </w:tc>
      </w:tr>
      <w:tr w14:paraId="524A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029" w:type="pct"/>
            <w:vAlign w:val="center"/>
          </w:tcPr>
          <w:p w14:paraId="6685C97F">
            <w:pPr>
              <w:spacing w:line="360" w:lineRule="exact"/>
              <w:jc w:val="center"/>
              <w:rPr>
                <w:snapToGrid w:val="0"/>
                <w:color w:val="auto"/>
                <w:kern w:val="0"/>
                <w:sz w:val="22"/>
                <w:highlight w:val="none"/>
              </w:rPr>
            </w:pPr>
          </w:p>
        </w:tc>
        <w:tc>
          <w:tcPr>
            <w:tcW w:w="1809" w:type="pct"/>
            <w:vAlign w:val="center"/>
          </w:tcPr>
          <w:p w14:paraId="2C5C3FBF">
            <w:pPr>
              <w:widowControl/>
              <w:spacing w:line="360" w:lineRule="exact"/>
              <w:jc w:val="center"/>
              <w:rPr>
                <w:color w:val="auto"/>
                <w:kern w:val="0"/>
                <w:sz w:val="22"/>
                <w:highlight w:val="none"/>
              </w:rPr>
            </w:pPr>
          </w:p>
        </w:tc>
        <w:tc>
          <w:tcPr>
            <w:tcW w:w="2160" w:type="pct"/>
            <w:vAlign w:val="center"/>
          </w:tcPr>
          <w:p w14:paraId="1A7E6A6F">
            <w:pPr>
              <w:spacing w:line="360" w:lineRule="exact"/>
              <w:rPr>
                <w:snapToGrid w:val="0"/>
                <w:color w:val="auto"/>
                <w:kern w:val="0"/>
                <w:sz w:val="22"/>
                <w:highlight w:val="none"/>
              </w:rPr>
            </w:pPr>
            <w:r>
              <w:rPr>
                <w:snapToGrid w:val="0"/>
                <w:color w:val="auto"/>
                <w:kern w:val="0"/>
                <w:sz w:val="22"/>
                <w:highlight w:val="none"/>
              </w:rPr>
              <w:t>大写：</w:t>
            </w:r>
          </w:p>
          <w:p w14:paraId="4C0DCE78">
            <w:pPr>
              <w:spacing w:line="360" w:lineRule="exact"/>
              <w:rPr>
                <w:snapToGrid w:val="0"/>
                <w:color w:val="auto"/>
                <w:kern w:val="0"/>
                <w:sz w:val="22"/>
                <w:highlight w:val="none"/>
              </w:rPr>
            </w:pPr>
            <w:r>
              <w:rPr>
                <w:snapToGrid w:val="0"/>
                <w:color w:val="auto"/>
                <w:kern w:val="0"/>
                <w:sz w:val="22"/>
                <w:highlight w:val="none"/>
              </w:rPr>
              <w:t>小写：</w:t>
            </w:r>
          </w:p>
        </w:tc>
      </w:tr>
    </w:tbl>
    <w:p w14:paraId="155598AA">
      <w:pPr>
        <w:spacing w:line="360" w:lineRule="exact"/>
        <w:rPr>
          <w:snapToGrid w:val="0"/>
          <w:color w:val="auto"/>
          <w:kern w:val="0"/>
          <w:sz w:val="22"/>
          <w:highlight w:val="none"/>
        </w:rPr>
      </w:pPr>
    </w:p>
    <w:p w14:paraId="1E6935F5">
      <w:pPr>
        <w:spacing w:line="360" w:lineRule="exact"/>
        <w:rPr>
          <w:snapToGrid w:val="0"/>
          <w:color w:val="auto"/>
          <w:kern w:val="0"/>
          <w:sz w:val="22"/>
          <w:highlight w:val="none"/>
        </w:rPr>
      </w:pPr>
      <w:r>
        <w:rPr>
          <w:snapToGrid w:val="0"/>
          <w:color w:val="auto"/>
          <w:kern w:val="0"/>
          <w:sz w:val="22"/>
          <w:highlight w:val="none"/>
        </w:rPr>
        <w:t>注：此表应与</w:t>
      </w:r>
      <w:r>
        <w:rPr>
          <w:rFonts w:hint="eastAsia"/>
          <w:snapToGrid w:val="0"/>
          <w:color w:val="auto"/>
          <w:kern w:val="0"/>
          <w:sz w:val="22"/>
          <w:highlight w:val="none"/>
        </w:rPr>
        <w:t>法定代表人证明书、法定代表人授权书</w:t>
      </w:r>
      <w:r>
        <w:rPr>
          <w:snapToGrid w:val="0"/>
          <w:color w:val="auto"/>
          <w:kern w:val="0"/>
          <w:sz w:val="22"/>
          <w:highlight w:val="none"/>
        </w:rPr>
        <w:t>一同密封单独提交。</w:t>
      </w:r>
    </w:p>
    <w:p w14:paraId="5CE6E947">
      <w:pPr>
        <w:spacing w:line="360" w:lineRule="exact"/>
        <w:ind w:right="2100" w:rightChars="1000"/>
        <w:jc w:val="right"/>
        <w:rPr>
          <w:snapToGrid w:val="0"/>
          <w:color w:val="auto"/>
          <w:kern w:val="0"/>
          <w:sz w:val="22"/>
          <w:highlight w:val="none"/>
        </w:rPr>
      </w:pPr>
    </w:p>
    <w:p w14:paraId="3B55A822">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lang w:val="zh-CN"/>
        </w:rPr>
        <w:t>法定代表人（</w:t>
      </w:r>
      <w:r>
        <w:rPr>
          <w:rFonts w:hint="eastAsia" w:ascii="宋体" w:hAnsi="宋体" w:cs="宋体"/>
          <w:snapToGrid w:val="0"/>
          <w:color w:val="auto"/>
          <w:kern w:val="0"/>
          <w:sz w:val="22"/>
          <w:szCs w:val="24"/>
          <w:highlight w:val="none"/>
        </w:rPr>
        <w:t>单位负责人</w:t>
      </w:r>
      <w:r>
        <w:rPr>
          <w:rFonts w:hint="eastAsia" w:ascii="宋体" w:hAnsi="宋体" w:cs="宋体"/>
          <w:snapToGrid w:val="0"/>
          <w:color w:val="auto"/>
          <w:kern w:val="0"/>
          <w:sz w:val="22"/>
          <w:szCs w:val="24"/>
          <w:highlight w:val="none"/>
          <w:lang w:val="zh-CN"/>
        </w:rPr>
        <w:t>）或其授权代表（签字</w:t>
      </w:r>
      <w:r>
        <w:rPr>
          <w:rFonts w:hint="eastAsia" w:ascii="宋体" w:hAnsi="宋体" w:cs="宋体"/>
          <w:snapToGrid w:val="0"/>
          <w:color w:val="auto"/>
          <w:kern w:val="0"/>
          <w:sz w:val="22"/>
          <w:szCs w:val="24"/>
          <w:highlight w:val="none"/>
        </w:rPr>
        <w:t>或盖章</w:t>
      </w:r>
      <w:r>
        <w:rPr>
          <w:rFonts w:hint="eastAsia" w:ascii="宋体" w:hAnsi="宋体" w:cs="宋体"/>
          <w:snapToGrid w:val="0"/>
          <w:color w:val="auto"/>
          <w:kern w:val="0"/>
          <w:sz w:val="22"/>
          <w:szCs w:val="24"/>
          <w:highlight w:val="none"/>
          <w:lang w:val="zh-CN"/>
        </w:rPr>
        <w:t>）</w:t>
      </w:r>
      <w:r>
        <w:rPr>
          <w:rFonts w:hint="eastAsia" w:ascii="宋体" w:hAnsi="宋体" w:cs="宋体"/>
          <w:snapToGrid w:val="0"/>
          <w:color w:val="auto"/>
          <w:kern w:val="0"/>
          <w:sz w:val="22"/>
          <w:szCs w:val="24"/>
          <w:highlight w:val="none"/>
        </w:rPr>
        <w:t xml:space="preserve">：                   </w:t>
      </w:r>
    </w:p>
    <w:p w14:paraId="6FFA7AC7">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投标人名称（盖章）：                        </w:t>
      </w:r>
    </w:p>
    <w:p w14:paraId="6419AC90">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日期：   年   月   日</w:t>
      </w:r>
    </w:p>
    <w:p w14:paraId="0F328295">
      <w:pPr>
        <w:spacing w:line="360" w:lineRule="exact"/>
        <w:ind w:right="2100" w:rightChars="1000"/>
        <w:jc w:val="left"/>
        <w:rPr>
          <w:snapToGrid w:val="0"/>
          <w:color w:val="auto"/>
          <w:kern w:val="0"/>
          <w:highlight w:val="none"/>
        </w:rPr>
      </w:pPr>
    </w:p>
    <w:p w14:paraId="2127BA5C">
      <w:pPr>
        <w:rPr>
          <w:color w:val="auto"/>
          <w:highlight w:val="none"/>
        </w:rPr>
      </w:pPr>
    </w:p>
    <w:p w14:paraId="7F6D564D">
      <w:pPr>
        <w:rPr>
          <w:color w:val="auto"/>
          <w:highlight w:val="none"/>
        </w:rPr>
      </w:pPr>
    </w:p>
    <w:p w14:paraId="12581666">
      <w:pPr>
        <w:rPr>
          <w:color w:val="auto"/>
          <w:highlight w:val="none"/>
        </w:rPr>
      </w:pPr>
      <w:r>
        <w:rPr>
          <w:color w:val="auto"/>
          <w:highlight w:val="none"/>
        </w:rPr>
        <w:t xml:space="preserve">            </w:t>
      </w:r>
    </w:p>
    <w:p w14:paraId="6BF9F6FF">
      <w:pPr>
        <w:rPr>
          <w:color w:val="auto"/>
          <w:highlight w:val="none"/>
        </w:rPr>
      </w:pPr>
    </w:p>
    <w:p w14:paraId="335ECB31">
      <w:pPr>
        <w:rPr>
          <w:color w:val="auto"/>
          <w:highlight w:val="none"/>
        </w:rPr>
      </w:pPr>
    </w:p>
    <w:p w14:paraId="3295DEB4">
      <w:pPr>
        <w:rPr>
          <w:color w:val="auto"/>
          <w:highlight w:val="none"/>
        </w:rPr>
      </w:pPr>
    </w:p>
    <w:p w14:paraId="213CFC86">
      <w:pPr>
        <w:rPr>
          <w:color w:val="auto"/>
          <w:highlight w:val="none"/>
        </w:rPr>
      </w:pPr>
    </w:p>
    <w:p w14:paraId="0247F1F3">
      <w:pPr>
        <w:rPr>
          <w:color w:val="auto"/>
          <w:highlight w:val="none"/>
        </w:rPr>
      </w:pPr>
    </w:p>
    <w:p w14:paraId="0DCC7078">
      <w:pPr>
        <w:rPr>
          <w:color w:val="auto"/>
          <w:highlight w:val="none"/>
        </w:rPr>
      </w:pPr>
    </w:p>
    <w:p w14:paraId="507035DD">
      <w:pPr>
        <w:rPr>
          <w:color w:val="auto"/>
          <w:highlight w:val="none"/>
        </w:rPr>
      </w:pPr>
    </w:p>
    <w:p w14:paraId="5B6B2988">
      <w:pPr>
        <w:rPr>
          <w:color w:val="auto"/>
          <w:highlight w:val="none"/>
        </w:rPr>
      </w:pPr>
    </w:p>
    <w:p w14:paraId="795015FD">
      <w:pPr>
        <w:rPr>
          <w:color w:val="auto"/>
          <w:highlight w:val="none"/>
        </w:rPr>
      </w:pPr>
    </w:p>
    <w:p w14:paraId="027F819B">
      <w:pPr>
        <w:rPr>
          <w:rFonts w:hint="eastAsia"/>
          <w:color w:val="auto"/>
          <w:highlight w:val="none"/>
        </w:rPr>
      </w:pPr>
    </w:p>
    <w:p w14:paraId="4A724F3A">
      <w:pPr>
        <w:pStyle w:val="4"/>
        <w:spacing w:before="120" w:after="120"/>
        <w:jc w:val="center"/>
        <w:rPr>
          <w:rFonts w:hint="eastAsia"/>
          <w:color w:val="auto"/>
          <w:highlight w:val="none"/>
        </w:rPr>
      </w:pPr>
      <w:r>
        <w:rPr>
          <w:rFonts w:hint="eastAsia"/>
          <w:color w:val="auto"/>
          <w:highlight w:val="none"/>
        </w:rPr>
        <w:br w:type="page"/>
      </w:r>
      <w:r>
        <w:rPr>
          <w:rFonts w:hint="eastAsia"/>
          <w:color w:val="auto"/>
          <w:kern w:val="2"/>
          <w:szCs w:val="28"/>
          <w:highlight w:val="none"/>
        </w:rPr>
        <w:t>二</w:t>
      </w:r>
      <w:r>
        <w:rPr>
          <w:rFonts w:hint="eastAsia" w:ascii="宋体" w:hAnsi="宋体" w:cs="宋体"/>
          <w:b/>
          <w:bCs/>
          <w:color w:val="auto"/>
          <w:kern w:val="2"/>
          <w:sz w:val="32"/>
          <w:highlight w:val="none"/>
        </w:rPr>
        <w:t>、法定代表人证明书</w:t>
      </w:r>
    </w:p>
    <w:p w14:paraId="462069C4">
      <w:pPr>
        <w:rPr>
          <w:color w:val="auto"/>
          <w:highlight w:val="none"/>
        </w:rPr>
      </w:pPr>
    </w:p>
    <w:p w14:paraId="1B2E5839">
      <w:pPr>
        <w:spacing w:line="360" w:lineRule="exact"/>
        <w:rPr>
          <w:rFonts w:hint="eastAsia" w:cs="宋体"/>
          <w:color w:val="auto"/>
          <w:sz w:val="22"/>
          <w:highlight w:val="none"/>
        </w:rPr>
      </w:pPr>
      <w:r>
        <w:rPr>
          <w:rFonts w:hint="eastAsia" w:cs="宋体"/>
          <w:color w:val="auto"/>
          <w:sz w:val="22"/>
          <w:highlight w:val="none"/>
        </w:rPr>
        <w:t xml:space="preserve">   </w:t>
      </w:r>
      <w:r>
        <w:rPr>
          <w:rFonts w:hint="eastAsia" w:cs="宋体"/>
          <w:color w:val="auto"/>
          <w:sz w:val="22"/>
          <w:highlight w:val="none"/>
          <w:u w:val="single"/>
        </w:rPr>
        <w:t xml:space="preserve">         </w:t>
      </w:r>
      <w:r>
        <w:rPr>
          <w:rFonts w:hint="eastAsia" w:cs="宋体"/>
          <w:color w:val="auto"/>
          <w:sz w:val="22"/>
          <w:highlight w:val="none"/>
        </w:rPr>
        <w:t>同志，现任我单位</w:t>
      </w:r>
      <w:r>
        <w:rPr>
          <w:rFonts w:hint="eastAsia" w:cs="宋体"/>
          <w:color w:val="auto"/>
          <w:sz w:val="22"/>
          <w:highlight w:val="none"/>
          <w:u w:val="single"/>
        </w:rPr>
        <w:t xml:space="preserve">         </w:t>
      </w:r>
      <w:r>
        <w:rPr>
          <w:rFonts w:hint="eastAsia" w:cs="宋体"/>
          <w:color w:val="auto"/>
          <w:sz w:val="22"/>
          <w:highlight w:val="none"/>
        </w:rPr>
        <w:t>职务，为法定代表人，特此证明。</w:t>
      </w:r>
    </w:p>
    <w:p w14:paraId="67B556EE">
      <w:pPr>
        <w:spacing w:line="360" w:lineRule="exact"/>
        <w:rPr>
          <w:rFonts w:hint="eastAsia" w:cs="宋体"/>
          <w:color w:val="auto"/>
          <w:sz w:val="22"/>
          <w:highlight w:val="none"/>
        </w:rPr>
      </w:pPr>
      <w:r>
        <w:rPr>
          <w:rFonts w:hint="eastAsia" w:cs="宋体"/>
          <w:color w:val="auto"/>
          <w:sz w:val="22"/>
          <w:highlight w:val="none"/>
        </w:rPr>
        <w:t xml:space="preserve">有效日期：         签发日期：         单位：              </w:t>
      </w:r>
    </w:p>
    <w:p w14:paraId="31663CB1">
      <w:pPr>
        <w:spacing w:line="360" w:lineRule="exact"/>
        <w:rPr>
          <w:rFonts w:hint="eastAsia" w:cs="宋体"/>
          <w:color w:val="auto"/>
          <w:sz w:val="22"/>
          <w:highlight w:val="none"/>
        </w:rPr>
      </w:pPr>
      <w:r>
        <w:rPr>
          <w:rFonts w:hint="eastAsia" w:cs="宋体"/>
          <w:color w:val="auto"/>
          <w:sz w:val="22"/>
          <w:highlight w:val="none"/>
        </w:rPr>
        <w:t>附：代表人性别：   年龄：      身份证号码：</w:t>
      </w:r>
    </w:p>
    <w:p w14:paraId="32E9D8B0">
      <w:pPr>
        <w:spacing w:line="360" w:lineRule="exact"/>
        <w:rPr>
          <w:rFonts w:hint="eastAsia" w:cs="宋体"/>
          <w:color w:val="auto"/>
          <w:sz w:val="22"/>
          <w:highlight w:val="none"/>
        </w:rPr>
      </w:pPr>
      <w:r>
        <w:rPr>
          <w:rFonts w:hint="eastAsia" w:cs="宋体"/>
          <w:color w:val="auto"/>
          <w:sz w:val="22"/>
          <w:highlight w:val="none"/>
        </w:rPr>
        <w:t>营业执照号码：                 经济性质：</w:t>
      </w:r>
    </w:p>
    <w:p w14:paraId="7AC75F45">
      <w:pPr>
        <w:spacing w:line="360" w:lineRule="exact"/>
        <w:rPr>
          <w:rFonts w:hint="eastAsia" w:cs="宋体"/>
          <w:color w:val="auto"/>
          <w:sz w:val="22"/>
          <w:highlight w:val="none"/>
        </w:rPr>
      </w:pPr>
      <w:r>
        <w:rPr>
          <w:rFonts w:hint="eastAsia" w:cs="宋体"/>
          <w:color w:val="auto"/>
          <w:sz w:val="22"/>
          <w:highlight w:val="none"/>
        </w:rPr>
        <w:t>主营（产）：</w:t>
      </w:r>
    </w:p>
    <w:p w14:paraId="56B3BF92">
      <w:pPr>
        <w:spacing w:line="360" w:lineRule="exact"/>
        <w:rPr>
          <w:rFonts w:hint="eastAsia" w:cs="宋体"/>
          <w:color w:val="auto"/>
          <w:sz w:val="22"/>
          <w:highlight w:val="none"/>
        </w:rPr>
      </w:pPr>
      <w:r>
        <w:rPr>
          <w:rFonts w:hint="eastAsia" w:cs="宋体"/>
          <w:color w:val="auto"/>
          <w:sz w:val="22"/>
          <w:highlight w:val="none"/>
        </w:rPr>
        <w:t>兼营（产）：</w:t>
      </w:r>
    </w:p>
    <w:p w14:paraId="7F49DFCE">
      <w:pPr>
        <w:spacing w:line="360" w:lineRule="exact"/>
        <w:rPr>
          <w:rFonts w:hint="eastAsia" w:cs="宋体"/>
          <w:color w:val="auto"/>
          <w:sz w:val="22"/>
          <w:highlight w:val="none"/>
        </w:rPr>
      </w:pPr>
      <w:r>
        <w:rPr>
          <w:rFonts w:hint="eastAsia" w:cs="宋体"/>
          <w:color w:val="auto"/>
          <w:sz w:val="22"/>
          <w:highlight w:val="none"/>
        </w:rPr>
        <w:t>进口物品经营许可证号码：</w:t>
      </w:r>
    </w:p>
    <w:p w14:paraId="75103BAC">
      <w:pPr>
        <w:spacing w:line="360" w:lineRule="exact"/>
        <w:rPr>
          <w:rFonts w:hint="eastAsia" w:cs="宋体"/>
          <w:color w:val="auto"/>
          <w:sz w:val="22"/>
          <w:highlight w:val="none"/>
        </w:rPr>
      </w:pPr>
      <w:r>
        <w:rPr>
          <w:rFonts w:hint="eastAsia" w:cs="宋体"/>
          <w:color w:val="auto"/>
          <w:sz w:val="22"/>
          <w:highlight w:val="none"/>
        </w:rPr>
        <w:t>主营：</w:t>
      </w:r>
    </w:p>
    <w:p w14:paraId="44A0A24F">
      <w:pPr>
        <w:spacing w:line="360" w:lineRule="exact"/>
        <w:rPr>
          <w:rFonts w:hint="eastAsia" w:cs="宋体"/>
          <w:color w:val="auto"/>
          <w:sz w:val="22"/>
          <w:highlight w:val="none"/>
        </w:rPr>
      </w:pPr>
      <w:r>
        <w:rPr>
          <w:rFonts w:hint="eastAsia" w:cs="宋体"/>
          <w:color w:val="auto"/>
          <w:sz w:val="22"/>
          <w:highlight w:val="none"/>
        </w:rPr>
        <w:t>兼营：</w:t>
      </w:r>
    </w:p>
    <w:p w14:paraId="51CA7B3C">
      <w:pPr>
        <w:spacing w:line="360" w:lineRule="exact"/>
        <w:rPr>
          <w:rFonts w:hint="eastAsia" w:cs="宋体"/>
          <w:color w:val="auto"/>
          <w:sz w:val="22"/>
          <w:highlight w:val="none"/>
        </w:rPr>
      </w:pPr>
      <w:r>
        <w:rPr>
          <w:rFonts w:hint="eastAsia" w:cs="宋体"/>
          <w:color w:val="auto"/>
          <w:sz w:val="22"/>
          <w:highlight w:val="none"/>
        </w:rPr>
        <w:t>说明：1、法定代表人为企业事业单位、国家机关、社会团体的主要行政负责人。</w:t>
      </w:r>
    </w:p>
    <w:p w14:paraId="48E4ACC3">
      <w:pPr>
        <w:spacing w:line="360" w:lineRule="exact"/>
        <w:rPr>
          <w:rFonts w:hint="eastAsia" w:cs="宋体"/>
          <w:color w:val="auto"/>
          <w:sz w:val="22"/>
          <w:highlight w:val="none"/>
        </w:rPr>
      </w:pPr>
      <w:r>
        <w:rPr>
          <w:rFonts w:hint="eastAsia" w:cs="宋体"/>
          <w:color w:val="auto"/>
          <w:sz w:val="22"/>
          <w:highlight w:val="none"/>
        </w:rPr>
        <w:t xml:space="preserve">      2、内容必须填写真实、清楚，涂改无效，不得转让、买卖。</w:t>
      </w:r>
    </w:p>
    <w:p w14:paraId="38FFBD2D">
      <w:pPr>
        <w:spacing w:line="360" w:lineRule="exact"/>
        <w:ind w:left="660"/>
        <w:rPr>
          <w:rFonts w:hint="eastAsia" w:cs="宋体"/>
          <w:color w:val="auto"/>
          <w:sz w:val="22"/>
          <w:highlight w:val="none"/>
        </w:rPr>
      </w:pPr>
      <w:r>
        <w:rPr>
          <w:rFonts w:hint="eastAsia" w:cs="宋体"/>
          <w:color w:val="auto"/>
          <w:sz w:val="22"/>
          <w:highlight w:val="none"/>
        </w:rPr>
        <w:t>3、提供法定代表人的身份证复印件（附后）。</w:t>
      </w:r>
    </w:p>
    <w:p w14:paraId="622CC4AF">
      <w:pPr>
        <w:spacing w:line="360" w:lineRule="auto"/>
        <w:jc w:val="center"/>
        <w:rPr>
          <w:rFonts w:hint="eastAsia"/>
          <w:bCs/>
          <w:color w:val="auto"/>
          <w:sz w:val="24"/>
          <w:highlight w:val="none"/>
        </w:rPr>
      </w:pPr>
      <w:r>
        <w:rPr>
          <w:rFonts w:hint="eastAsia"/>
          <w:bCs/>
          <w:color w:val="auto"/>
          <w:sz w:val="24"/>
          <w:highlight w:val="none"/>
        </w:rPr>
        <w:t xml:space="preserve">       </w:t>
      </w:r>
    </w:p>
    <w:p w14:paraId="5A279B74">
      <w:pPr>
        <w:spacing w:line="360" w:lineRule="auto"/>
        <w:jc w:val="center"/>
        <w:rPr>
          <w:rFonts w:hint="eastAsia"/>
          <w:bCs/>
          <w:color w:val="auto"/>
          <w:sz w:val="24"/>
          <w:highlight w:val="none"/>
        </w:rPr>
      </w:pPr>
    </w:p>
    <w:p w14:paraId="3CC7007E">
      <w:pPr>
        <w:spacing w:line="360" w:lineRule="exact"/>
        <w:ind w:right="2100" w:rightChars="1000"/>
        <w:jc w:val="left"/>
        <w:rPr>
          <w:rFonts w:hint="eastAsia"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投标人名称（盖章）： </w:t>
      </w:r>
    </w:p>
    <w:p w14:paraId="7975FA60">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                       </w:t>
      </w:r>
    </w:p>
    <w:p w14:paraId="620F35F2">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日期：   年   月   日</w:t>
      </w:r>
    </w:p>
    <w:p w14:paraId="740C02E5">
      <w:pPr>
        <w:pStyle w:val="4"/>
        <w:spacing w:before="120" w:after="120"/>
        <w:jc w:val="center"/>
        <w:rPr>
          <w:b/>
          <w:color w:val="auto"/>
          <w:highlight w:val="none"/>
        </w:rPr>
      </w:pPr>
      <w:r>
        <w:rPr>
          <w:rFonts w:hint="eastAsia"/>
          <w:bCs/>
          <w:color w:val="auto"/>
          <w:sz w:val="24"/>
          <w:highlight w:val="none"/>
        </w:rPr>
        <w:br w:type="page"/>
      </w:r>
      <w:r>
        <w:rPr>
          <w:rFonts w:hint="eastAsia"/>
          <w:b/>
          <w:bCs/>
          <w:color w:val="auto"/>
          <w:sz w:val="32"/>
          <w:szCs w:val="36"/>
          <w:highlight w:val="none"/>
        </w:rPr>
        <w:t>三、法定代表人授权书</w:t>
      </w:r>
    </w:p>
    <w:p w14:paraId="5C2FC904">
      <w:pPr>
        <w:rPr>
          <w:bCs/>
          <w:color w:val="auto"/>
          <w:sz w:val="24"/>
          <w:highlight w:val="none"/>
        </w:rPr>
      </w:pPr>
    </w:p>
    <w:p w14:paraId="08EBE856">
      <w:pPr>
        <w:spacing w:line="360" w:lineRule="exact"/>
        <w:rPr>
          <w:bCs/>
          <w:color w:val="auto"/>
          <w:sz w:val="22"/>
          <w:highlight w:val="none"/>
        </w:rPr>
      </w:pPr>
      <w:r>
        <w:rPr>
          <w:color w:val="auto"/>
          <w:sz w:val="22"/>
          <w:highlight w:val="none"/>
        </w:rPr>
        <w:t>致：</w:t>
      </w:r>
      <w:r>
        <w:rPr>
          <w:bCs/>
          <w:color w:val="auto"/>
          <w:sz w:val="22"/>
          <w:highlight w:val="none"/>
        </w:rPr>
        <w:t>深圳市东海国际招标有限公司：</w:t>
      </w:r>
    </w:p>
    <w:p w14:paraId="1EB9C1A1">
      <w:pPr>
        <w:spacing w:line="360" w:lineRule="exact"/>
        <w:rPr>
          <w:bCs/>
          <w:color w:val="auto"/>
          <w:sz w:val="22"/>
          <w:highlight w:val="none"/>
        </w:rPr>
      </w:pPr>
    </w:p>
    <w:p w14:paraId="7522F547">
      <w:pPr>
        <w:spacing w:line="360" w:lineRule="exact"/>
        <w:rPr>
          <w:bCs/>
          <w:color w:val="auto"/>
          <w:sz w:val="22"/>
          <w:highlight w:val="none"/>
        </w:rPr>
      </w:pPr>
      <w:r>
        <w:rPr>
          <w:bCs/>
          <w:color w:val="auto"/>
          <w:sz w:val="22"/>
          <w:highlight w:val="none"/>
        </w:rPr>
        <w:t xml:space="preserve">     </w:t>
      </w:r>
      <w:r>
        <w:rPr>
          <w:bCs/>
          <w:color w:val="auto"/>
          <w:sz w:val="22"/>
          <w:highlight w:val="none"/>
          <w:u w:val="single"/>
        </w:rPr>
        <w:t xml:space="preserve">          （投标人全称）     </w:t>
      </w:r>
      <w:r>
        <w:rPr>
          <w:bCs/>
          <w:color w:val="auto"/>
          <w:sz w:val="22"/>
          <w:highlight w:val="none"/>
        </w:rPr>
        <w:t xml:space="preserve"> 法定代表人</w:t>
      </w:r>
      <w:r>
        <w:rPr>
          <w:bCs/>
          <w:color w:val="auto"/>
          <w:sz w:val="22"/>
          <w:highlight w:val="none"/>
          <w:u w:val="single"/>
        </w:rPr>
        <w:t xml:space="preserve">                 </w:t>
      </w:r>
      <w:r>
        <w:rPr>
          <w:bCs/>
          <w:color w:val="auto"/>
          <w:sz w:val="22"/>
          <w:highlight w:val="none"/>
        </w:rPr>
        <w:t xml:space="preserve">授权 </w:t>
      </w:r>
      <w:r>
        <w:rPr>
          <w:bCs/>
          <w:color w:val="auto"/>
          <w:sz w:val="22"/>
          <w:highlight w:val="none"/>
          <w:u w:val="single"/>
        </w:rPr>
        <w:t xml:space="preserve">  （被授权代表姓名、职务）              </w:t>
      </w:r>
      <w:r>
        <w:rPr>
          <w:bCs/>
          <w:color w:val="auto"/>
          <w:sz w:val="22"/>
          <w:highlight w:val="none"/>
        </w:rPr>
        <w:t>为本公司合法代理人，参加贵招标代理公司组织的</w:t>
      </w:r>
      <w:r>
        <w:rPr>
          <w:bCs/>
          <w:color w:val="auto"/>
          <w:sz w:val="22"/>
          <w:highlight w:val="none"/>
          <w:u w:val="single"/>
        </w:rPr>
        <w:t xml:space="preserve">   (项目名称)（项目编号）                      </w:t>
      </w:r>
      <w:r>
        <w:rPr>
          <w:bCs/>
          <w:color w:val="auto"/>
          <w:sz w:val="22"/>
          <w:highlight w:val="none"/>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6091C67A">
      <w:pPr>
        <w:spacing w:line="360" w:lineRule="exact"/>
        <w:rPr>
          <w:bCs/>
          <w:color w:val="auto"/>
          <w:sz w:val="22"/>
          <w:highlight w:val="none"/>
        </w:rPr>
      </w:pPr>
      <w:r>
        <w:rPr>
          <w:bCs/>
          <w:color w:val="auto"/>
          <w:sz w:val="22"/>
          <w:highlight w:val="none"/>
        </w:rPr>
        <w:t xml:space="preserve">     本授权书于</w:t>
      </w:r>
      <w:r>
        <w:rPr>
          <w:bCs/>
          <w:color w:val="auto"/>
          <w:sz w:val="22"/>
          <w:highlight w:val="none"/>
          <w:u w:val="single"/>
        </w:rPr>
        <w:t xml:space="preserve">       </w:t>
      </w:r>
      <w:r>
        <w:rPr>
          <w:bCs/>
          <w:color w:val="auto"/>
          <w:sz w:val="22"/>
          <w:highlight w:val="none"/>
        </w:rPr>
        <w:t>年</w:t>
      </w:r>
      <w:r>
        <w:rPr>
          <w:bCs/>
          <w:color w:val="auto"/>
          <w:sz w:val="22"/>
          <w:highlight w:val="none"/>
          <w:u w:val="single"/>
        </w:rPr>
        <w:t xml:space="preserve">   </w:t>
      </w:r>
      <w:r>
        <w:rPr>
          <w:bCs/>
          <w:color w:val="auto"/>
          <w:sz w:val="22"/>
          <w:highlight w:val="none"/>
        </w:rPr>
        <w:t>月</w:t>
      </w:r>
      <w:r>
        <w:rPr>
          <w:bCs/>
          <w:color w:val="auto"/>
          <w:sz w:val="22"/>
          <w:highlight w:val="none"/>
          <w:u w:val="single"/>
        </w:rPr>
        <w:t xml:space="preserve">    </w:t>
      </w:r>
      <w:r>
        <w:rPr>
          <w:bCs/>
          <w:color w:val="auto"/>
          <w:sz w:val="22"/>
          <w:highlight w:val="none"/>
        </w:rPr>
        <w:t>日签字生效，特此声明。</w:t>
      </w:r>
    </w:p>
    <w:p w14:paraId="3690E192">
      <w:pPr>
        <w:spacing w:line="360" w:lineRule="exact"/>
        <w:rPr>
          <w:bCs/>
          <w:color w:val="auto"/>
          <w:sz w:val="22"/>
          <w:highlight w:val="none"/>
        </w:rPr>
      </w:pPr>
    </w:p>
    <w:p w14:paraId="4D0F16C4">
      <w:pPr>
        <w:spacing w:line="360" w:lineRule="exact"/>
        <w:ind w:firstLine="110" w:firstLineChars="50"/>
        <w:rPr>
          <w:bCs/>
          <w:color w:val="auto"/>
          <w:sz w:val="22"/>
          <w:highlight w:val="none"/>
          <w:u w:val="single"/>
        </w:rPr>
      </w:pPr>
      <w:r>
        <w:rPr>
          <w:bCs/>
          <w:color w:val="auto"/>
          <w:sz w:val="22"/>
          <w:highlight w:val="none"/>
        </w:rPr>
        <w:t>被授权人：</w:t>
      </w:r>
      <w:r>
        <w:rPr>
          <w:bCs/>
          <w:color w:val="auto"/>
          <w:sz w:val="22"/>
          <w:highlight w:val="none"/>
          <w:u w:val="single"/>
        </w:rPr>
        <w:t xml:space="preserve">                  </w:t>
      </w:r>
      <w:r>
        <w:rPr>
          <w:bCs/>
          <w:color w:val="auto"/>
          <w:sz w:val="22"/>
          <w:highlight w:val="none"/>
        </w:rPr>
        <w:t xml:space="preserve">   职务：</w:t>
      </w:r>
      <w:r>
        <w:rPr>
          <w:bCs/>
          <w:color w:val="auto"/>
          <w:sz w:val="22"/>
          <w:highlight w:val="none"/>
          <w:u w:val="single"/>
        </w:rPr>
        <w:t xml:space="preserve">                  </w:t>
      </w:r>
    </w:p>
    <w:p w14:paraId="7ADA9101">
      <w:pPr>
        <w:spacing w:line="360" w:lineRule="exact"/>
        <w:ind w:firstLine="110" w:firstLineChars="50"/>
        <w:rPr>
          <w:bCs/>
          <w:color w:val="auto"/>
          <w:sz w:val="22"/>
          <w:highlight w:val="none"/>
          <w:u w:val="single"/>
        </w:rPr>
      </w:pPr>
      <w:r>
        <w:rPr>
          <w:bCs/>
          <w:color w:val="auto"/>
          <w:sz w:val="22"/>
          <w:highlight w:val="none"/>
        </w:rPr>
        <w:t>联系电话：</w:t>
      </w:r>
      <w:r>
        <w:rPr>
          <w:bCs/>
          <w:color w:val="auto"/>
          <w:sz w:val="22"/>
          <w:highlight w:val="none"/>
          <w:u w:val="single"/>
        </w:rPr>
        <w:t xml:space="preserve">                  </w:t>
      </w:r>
      <w:r>
        <w:rPr>
          <w:bCs/>
          <w:color w:val="auto"/>
          <w:sz w:val="22"/>
          <w:highlight w:val="none"/>
        </w:rPr>
        <w:t xml:space="preserve">   手机：</w:t>
      </w:r>
      <w:r>
        <w:rPr>
          <w:bCs/>
          <w:color w:val="auto"/>
          <w:sz w:val="22"/>
          <w:highlight w:val="none"/>
          <w:u w:val="single"/>
        </w:rPr>
        <w:t xml:space="preserve">                  </w:t>
      </w:r>
    </w:p>
    <w:p w14:paraId="555CCC3B">
      <w:pPr>
        <w:spacing w:line="360" w:lineRule="exact"/>
        <w:ind w:firstLine="110" w:firstLineChars="50"/>
        <w:rPr>
          <w:bCs/>
          <w:color w:val="auto"/>
          <w:sz w:val="22"/>
          <w:highlight w:val="none"/>
        </w:rPr>
      </w:pPr>
      <w:r>
        <w:rPr>
          <w:bCs/>
          <w:color w:val="auto"/>
          <w:sz w:val="22"/>
          <w:highlight w:val="none"/>
        </w:rPr>
        <w:t>身份证号码：</w:t>
      </w:r>
      <w:r>
        <w:rPr>
          <w:bCs/>
          <w:color w:val="auto"/>
          <w:sz w:val="22"/>
          <w:highlight w:val="none"/>
          <w:u w:val="single"/>
        </w:rPr>
        <w:t xml:space="preserve">                                           </w:t>
      </w:r>
    </w:p>
    <w:p w14:paraId="20C30ECE">
      <w:pPr>
        <w:spacing w:line="360" w:lineRule="exact"/>
        <w:ind w:firstLine="110" w:firstLineChars="50"/>
        <w:rPr>
          <w:bCs/>
          <w:color w:val="auto"/>
          <w:sz w:val="22"/>
          <w:highlight w:val="none"/>
          <w:u w:val="single"/>
        </w:rPr>
      </w:pPr>
      <w:r>
        <w:rPr>
          <w:bCs/>
          <w:color w:val="auto"/>
          <w:sz w:val="22"/>
          <w:highlight w:val="none"/>
        </w:rPr>
        <w:t>投标人（盖章）：</w:t>
      </w:r>
      <w:r>
        <w:rPr>
          <w:bCs/>
          <w:color w:val="auto"/>
          <w:sz w:val="22"/>
          <w:highlight w:val="none"/>
          <w:u w:val="single"/>
        </w:rPr>
        <w:t xml:space="preserve">                                        </w:t>
      </w:r>
    </w:p>
    <w:p w14:paraId="6CB01B79">
      <w:pPr>
        <w:spacing w:line="360" w:lineRule="exact"/>
        <w:ind w:firstLine="110" w:firstLineChars="50"/>
        <w:rPr>
          <w:bCs/>
          <w:color w:val="auto"/>
          <w:sz w:val="22"/>
          <w:highlight w:val="none"/>
          <w:u w:val="single"/>
        </w:rPr>
      </w:pPr>
      <w:r>
        <w:rPr>
          <w:bCs/>
          <w:color w:val="auto"/>
          <w:sz w:val="22"/>
          <w:highlight w:val="none"/>
        </w:rPr>
        <w:t>法定代表人（签名）：</w:t>
      </w:r>
      <w:r>
        <w:rPr>
          <w:bCs/>
          <w:color w:val="auto"/>
          <w:sz w:val="22"/>
          <w:highlight w:val="none"/>
          <w:u w:val="single"/>
        </w:rPr>
        <w:t xml:space="preserve">                                    </w:t>
      </w:r>
    </w:p>
    <w:p w14:paraId="52331E53">
      <w:pPr>
        <w:spacing w:line="360" w:lineRule="exact"/>
        <w:ind w:firstLine="110" w:firstLineChars="50"/>
        <w:rPr>
          <w:bCs/>
          <w:color w:val="auto"/>
          <w:sz w:val="22"/>
          <w:highlight w:val="none"/>
          <w:u w:val="single"/>
        </w:rPr>
      </w:pPr>
      <w:r>
        <w:rPr>
          <w:bCs/>
          <w:color w:val="auto"/>
          <w:sz w:val="22"/>
          <w:highlight w:val="none"/>
        </w:rPr>
        <w:t>被授权人（签名）：</w:t>
      </w:r>
      <w:r>
        <w:rPr>
          <w:bCs/>
          <w:color w:val="auto"/>
          <w:sz w:val="22"/>
          <w:highlight w:val="none"/>
          <w:u w:val="single"/>
        </w:rPr>
        <w:t xml:space="preserve">                                      </w:t>
      </w:r>
    </w:p>
    <w:p w14:paraId="630AC0B6">
      <w:pPr>
        <w:spacing w:line="360" w:lineRule="exact"/>
        <w:rPr>
          <w:bCs/>
          <w:color w:val="auto"/>
          <w:sz w:val="22"/>
          <w:highlight w:val="none"/>
        </w:rPr>
      </w:pPr>
    </w:p>
    <w:p w14:paraId="46F57FDD">
      <w:pPr>
        <w:spacing w:line="360" w:lineRule="exact"/>
        <w:rPr>
          <w:bCs/>
          <w:color w:val="auto"/>
          <w:sz w:val="22"/>
          <w:highlight w:val="none"/>
        </w:rPr>
      </w:pPr>
      <w:r>
        <w:rPr>
          <w:bCs/>
          <w:color w:val="auto"/>
          <w:sz w:val="22"/>
          <w:highlight w:val="none"/>
        </w:rPr>
        <w:t>说明：1.本授权委托书要求投标人提供有</w:t>
      </w:r>
      <w:r>
        <w:rPr>
          <w:b/>
          <w:bCs/>
          <w:color w:val="auto"/>
          <w:sz w:val="22"/>
          <w:highlight w:val="none"/>
        </w:rPr>
        <w:t>代理人签字、法定代表人的签字（或盖私章）和加盖公章</w:t>
      </w:r>
      <w:r>
        <w:rPr>
          <w:bCs/>
          <w:color w:val="auto"/>
          <w:sz w:val="22"/>
          <w:highlight w:val="none"/>
        </w:rPr>
        <w:t>后的原件方为有效；</w:t>
      </w:r>
    </w:p>
    <w:p w14:paraId="604B45BA">
      <w:pPr>
        <w:spacing w:line="360" w:lineRule="exact"/>
        <w:rPr>
          <w:bCs/>
          <w:color w:val="auto"/>
          <w:sz w:val="22"/>
          <w:highlight w:val="none"/>
        </w:rPr>
      </w:pPr>
      <w:r>
        <w:rPr>
          <w:rFonts w:hint="eastAsia"/>
          <w:bCs/>
          <w:color w:val="auto"/>
          <w:sz w:val="22"/>
          <w:highlight w:val="none"/>
        </w:rPr>
        <w:t>2.</w:t>
      </w:r>
      <w:r>
        <w:rPr>
          <w:bCs/>
          <w:color w:val="auto"/>
          <w:sz w:val="22"/>
          <w:highlight w:val="none"/>
        </w:rPr>
        <w:t>提供代理人的身份证复印件（附后）。</w:t>
      </w:r>
    </w:p>
    <w:p w14:paraId="49A03101">
      <w:pPr>
        <w:pStyle w:val="3"/>
        <w:rPr>
          <w:color w:val="auto"/>
          <w:sz w:val="32"/>
          <w:szCs w:val="32"/>
          <w:highlight w:val="none"/>
        </w:rPr>
      </w:pPr>
      <w:r>
        <w:rPr>
          <w:bCs/>
          <w:color w:val="auto"/>
          <w:sz w:val="22"/>
          <w:highlight w:val="none"/>
        </w:rPr>
        <w:br w:type="page"/>
      </w:r>
      <w:r>
        <w:rPr>
          <w:b w:val="0"/>
          <w:bCs/>
          <w:color w:val="auto"/>
          <w:sz w:val="32"/>
          <w:szCs w:val="32"/>
          <w:highlight w:val="none"/>
        </w:rPr>
        <w:t>附件2、投标文件</w:t>
      </w:r>
    </w:p>
    <w:p w14:paraId="0B4E06D1">
      <w:pPr>
        <w:rPr>
          <w:color w:val="auto"/>
          <w:szCs w:val="21"/>
          <w:highlight w:val="none"/>
        </w:rPr>
      </w:pPr>
    </w:p>
    <w:p w14:paraId="6B75CDD3">
      <w:pPr>
        <w:rPr>
          <w:color w:val="auto"/>
          <w:szCs w:val="21"/>
          <w:highlight w:val="none"/>
        </w:rPr>
      </w:pPr>
    </w:p>
    <w:p w14:paraId="6410F2E8">
      <w:pPr>
        <w:pStyle w:val="42"/>
        <w:ind w:left="0" w:leftChars="0" w:firstLine="0" w:firstLineChars="0"/>
        <w:rPr>
          <w:rFonts w:ascii="Times New Roman" w:hAnsi="Times New Roman"/>
          <w:color w:val="auto"/>
          <w:highlight w:val="none"/>
        </w:rPr>
      </w:pPr>
    </w:p>
    <w:p w14:paraId="0999F694">
      <w:pPr>
        <w:pStyle w:val="42"/>
        <w:ind w:left="0" w:leftChars="0" w:firstLine="0" w:firstLineChars="0"/>
        <w:rPr>
          <w:rFonts w:ascii="Times New Roman" w:hAnsi="Times New Roman"/>
          <w:color w:val="auto"/>
          <w:highlight w:val="none"/>
        </w:rPr>
      </w:pPr>
    </w:p>
    <w:p w14:paraId="3AD7C3B0">
      <w:pPr>
        <w:pStyle w:val="42"/>
        <w:ind w:left="0" w:leftChars="0" w:firstLine="0" w:firstLineChars="0"/>
        <w:rPr>
          <w:rFonts w:ascii="Times New Roman" w:hAnsi="Times New Roman"/>
          <w:color w:val="auto"/>
          <w:highlight w:val="none"/>
        </w:rPr>
      </w:pPr>
    </w:p>
    <w:p w14:paraId="0335A27F">
      <w:pPr>
        <w:jc w:val="center"/>
        <w:rPr>
          <w:rFonts w:hint="default" w:eastAsia="宋体"/>
          <w:color w:val="auto"/>
          <w:sz w:val="44"/>
          <w:szCs w:val="44"/>
          <w:highlight w:val="none"/>
          <w:lang w:val="en-US" w:eastAsia="zh-CN"/>
        </w:rPr>
      </w:pPr>
      <w:r>
        <w:rPr>
          <w:rFonts w:hint="eastAsia"/>
          <w:color w:val="auto"/>
          <w:sz w:val="44"/>
          <w:szCs w:val="44"/>
          <w:highlight w:val="none"/>
          <w:lang w:val="en-US" w:eastAsia="zh-CN"/>
        </w:rPr>
        <w:t>深圳市儿童医院通用类设备一批项目(重新招标)</w:t>
      </w:r>
    </w:p>
    <w:p w14:paraId="3BCDC8EE">
      <w:pPr>
        <w:jc w:val="center"/>
        <w:rPr>
          <w:color w:val="auto"/>
          <w:sz w:val="44"/>
          <w:szCs w:val="44"/>
          <w:highlight w:val="none"/>
        </w:rPr>
      </w:pPr>
      <w:r>
        <w:rPr>
          <w:color w:val="auto"/>
          <w:sz w:val="44"/>
          <w:szCs w:val="44"/>
          <w:highlight w:val="none"/>
        </w:rPr>
        <w:t>（投标文件）</w:t>
      </w:r>
    </w:p>
    <w:p w14:paraId="3FD376A1">
      <w:pPr>
        <w:jc w:val="center"/>
        <w:rPr>
          <w:color w:val="auto"/>
          <w:sz w:val="44"/>
          <w:szCs w:val="44"/>
          <w:highlight w:val="none"/>
        </w:rPr>
      </w:pPr>
    </w:p>
    <w:p w14:paraId="28B36C4F">
      <w:pPr>
        <w:jc w:val="center"/>
        <w:rPr>
          <w:color w:val="auto"/>
          <w:sz w:val="44"/>
          <w:szCs w:val="44"/>
          <w:highlight w:val="none"/>
        </w:rPr>
      </w:pPr>
    </w:p>
    <w:p w14:paraId="368911E8">
      <w:pPr>
        <w:jc w:val="center"/>
        <w:rPr>
          <w:color w:val="auto"/>
          <w:sz w:val="44"/>
          <w:szCs w:val="44"/>
          <w:highlight w:val="none"/>
        </w:rPr>
      </w:pPr>
    </w:p>
    <w:p w14:paraId="0CEDA066">
      <w:pPr>
        <w:jc w:val="center"/>
        <w:rPr>
          <w:color w:val="auto"/>
          <w:sz w:val="44"/>
          <w:szCs w:val="44"/>
          <w:highlight w:val="none"/>
        </w:rPr>
      </w:pPr>
    </w:p>
    <w:p w14:paraId="45B382A3">
      <w:pPr>
        <w:rPr>
          <w:color w:val="auto"/>
          <w:sz w:val="44"/>
          <w:szCs w:val="44"/>
          <w:highlight w:val="none"/>
        </w:rPr>
      </w:pPr>
    </w:p>
    <w:p w14:paraId="615199F4">
      <w:pPr>
        <w:spacing w:line="480" w:lineRule="auto"/>
        <w:ind w:firstLine="1400" w:firstLineChars="500"/>
        <w:rPr>
          <w:color w:val="auto"/>
          <w:sz w:val="28"/>
          <w:szCs w:val="28"/>
          <w:highlight w:val="none"/>
          <w:u w:val="single"/>
        </w:rPr>
      </w:pPr>
      <w:r>
        <w:rPr>
          <w:color w:val="auto"/>
          <w:sz w:val="28"/>
          <w:szCs w:val="28"/>
          <w:highlight w:val="none"/>
        </w:rPr>
        <w:t>项目编号：________________________</w:t>
      </w:r>
    </w:p>
    <w:p w14:paraId="6C36FAC3">
      <w:pPr>
        <w:spacing w:line="480" w:lineRule="auto"/>
        <w:ind w:firstLine="1400" w:firstLineChars="500"/>
        <w:rPr>
          <w:color w:val="auto"/>
          <w:sz w:val="28"/>
          <w:szCs w:val="28"/>
          <w:highlight w:val="none"/>
          <w:u w:val="single"/>
        </w:rPr>
      </w:pPr>
      <w:r>
        <w:rPr>
          <w:color w:val="auto"/>
          <w:sz w:val="28"/>
          <w:szCs w:val="28"/>
          <w:highlight w:val="none"/>
        </w:rPr>
        <w:t>供应商（盖章）：___________________</w:t>
      </w:r>
    </w:p>
    <w:p w14:paraId="0EEA3EE6">
      <w:pPr>
        <w:spacing w:line="480" w:lineRule="auto"/>
        <w:ind w:firstLine="1400" w:firstLineChars="500"/>
        <w:rPr>
          <w:color w:val="auto"/>
          <w:sz w:val="28"/>
          <w:szCs w:val="28"/>
          <w:highlight w:val="none"/>
        </w:rPr>
      </w:pPr>
      <w:r>
        <w:rPr>
          <w:color w:val="auto"/>
          <w:sz w:val="28"/>
          <w:szCs w:val="28"/>
          <w:highlight w:val="none"/>
        </w:rPr>
        <w:t>法定代表人或授权委托人签字：____________</w:t>
      </w:r>
    </w:p>
    <w:p w14:paraId="53D09656">
      <w:pPr>
        <w:spacing w:line="480" w:lineRule="auto"/>
        <w:ind w:firstLine="1400" w:firstLineChars="500"/>
        <w:rPr>
          <w:color w:val="auto"/>
          <w:sz w:val="28"/>
          <w:szCs w:val="28"/>
          <w:highlight w:val="none"/>
        </w:rPr>
      </w:pPr>
      <w:r>
        <w:rPr>
          <w:color w:val="auto"/>
          <w:sz w:val="28"/>
          <w:szCs w:val="28"/>
          <w:highlight w:val="none"/>
        </w:rPr>
        <w:t>投标日期：______年_____月______日</w:t>
      </w:r>
    </w:p>
    <w:p w14:paraId="1D0A4FB9">
      <w:pPr>
        <w:rPr>
          <w:color w:val="auto"/>
          <w:highlight w:val="none"/>
        </w:rPr>
      </w:pPr>
    </w:p>
    <w:p w14:paraId="7BCCF804">
      <w:pPr>
        <w:rPr>
          <w:color w:val="auto"/>
          <w:highlight w:val="none"/>
        </w:rPr>
      </w:pPr>
    </w:p>
    <w:p w14:paraId="128E74CA">
      <w:pPr>
        <w:jc w:val="center"/>
        <w:rPr>
          <w:b/>
          <w:bCs/>
          <w:color w:val="auto"/>
          <w:sz w:val="32"/>
          <w:szCs w:val="32"/>
          <w:highlight w:val="none"/>
        </w:rPr>
      </w:pPr>
      <w:r>
        <w:rPr>
          <w:b/>
          <w:bCs/>
          <w:color w:val="auto"/>
          <w:sz w:val="32"/>
          <w:szCs w:val="32"/>
          <w:highlight w:val="none"/>
        </w:rPr>
        <w:br w:type="page"/>
      </w:r>
      <w:r>
        <w:rPr>
          <w:b/>
          <w:bCs/>
          <w:color w:val="auto"/>
          <w:sz w:val="32"/>
          <w:szCs w:val="32"/>
          <w:highlight w:val="none"/>
        </w:rPr>
        <w:t>投标文件目录</w:t>
      </w:r>
    </w:p>
    <w:p w14:paraId="67FA7A5C">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评标指引表</w:t>
      </w:r>
    </w:p>
    <w:p w14:paraId="69EB5706">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投标函</w:t>
      </w:r>
    </w:p>
    <w:p w14:paraId="34F58A80">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政府采购投标及履约承诺函</w:t>
      </w:r>
    </w:p>
    <w:p w14:paraId="7978DBF2">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诚信承诺函</w:t>
      </w:r>
    </w:p>
    <w:p w14:paraId="2E6AF34A">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政府采购违法行为风险知悉确认书</w:t>
      </w:r>
    </w:p>
    <w:p w14:paraId="28262D0B">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法定代表人证明书</w:t>
      </w:r>
    </w:p>
    <w:p w14:paraId="286815A6">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法定代表人授权书</w:t>
      </w:r>
    </w:p>
    <w:p w14:paraId="6B49AF4B">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招标代理服务费承诺函</w:t>
      </w:r>
    </w:p>
    <w:p w14:paraId="1785C177">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报价清单表</w:t>
      </w:r>
    </w:p>
    <w:p w14:paraId="32F92D3D">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供应商情况介绍</w:t>
      </w:r>
    </w:p>
    <w:p w14:paraId="1CB7A500">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项目主要管理及技术人员情况</w:t>
      </w:r>
    </w:p>
    <w:p w14:paraId="3150912A">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商务条款偏离表</w:t>
      </w:r>
    </w:p>
    <w:p w14:paraId="255D0ED7">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技术规格偏离表</w:t>
      </w:r>
    </w:p>
    <w:p w14:paraId="10A0832C">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中小企业、残疾人福利性单位和监狱企业政策导向</w:t>
      </w:r>
    </w:p>
    <w:p w14:paraId="1EB20FF0">
      <w:pPr>
        <w:numPr>
          <w:ilvl w:val="0"/>
          <w:numId w:val="7"/>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招标文件要求的其他内容及投标人认为需要加以说明的其他内容</w:t>
      </w:r>
    </w:p>
    <w:p w14:paraId="08001D90">
      <w:pPr>
        <w:numPr>
          <w:ilvl w:val="0"/>
          <w:numId w:val="0"/>
        </w:numPr>
        <w:tabs>
          <w:tab w:val="left" w:pos="0"/>
        </w:tabs>
        <w:ind w:left="0" w:leftChars="0" w:firstLine="397" w:firstLineChars="0"/>
        <w:jc w:val="center"/>
        <w:outlineLvl w:val="2"/>
        <w:rPr>
          <w:snapToGrid w:val="0"/>
          <w:color w:val="auto"/>
          <w:kern w:val="0"/>
          <w:highlight w:val="none"/>
        </w:rPr>
      </w:pPr>
      <w:r>
        <w:rPr>
          <w:rFonts w:hint="eastAsia" w:ascii="宋体" w:hAnsi="宋体" w:eastAsia="宋体" w:cs="宋体"/>
          <w:b/>
          <w:snapToGrid w:val="0"/>
          <w:color w:val="auto"/>
          <w:kern w:val="0"/>
          <w:sz w:val="32"/>
          <w:szCs w:val="32"/>
          <w:highlight w:val="none"/>
          <w:lang w:val="en-US" w:eastAsia="zh-CN" w:bidi="ar-SA"/>
        </w:rPr>
        <w:t>一、</w:t>
      </w:r>
      <w:r>
        <w:rPr>
          <w:b/>
          <w:bCs/>
          <w:color w:val="auto"/>
          <w:sz w:val="32"/>
          <w:szCs w:val="32"/>
          <w:highlight w:val="none"/>
        </w:rPr>
        <w:br w:type="page"/>
      </w:r>
      <w:r>
        <w:rPr>
          <w:b/>
          <w:bCs/>
          <w:color w:val="auto"/>
          <w:sz w:val="32"/>
          <w:szCs w:val="32"/>
          <w:highlight w:val="none"/>
        </w:rPr>
        <w:t>评标指引表</w:t>
      </w:r>
    </w:p>
    <w:p w14:paraId="38B7E449">
      <w:pPr>
        <w:jc w:val="center"/>
        <w:rPr>
          <w:b/>
          <w:color w:val="auto"/>
          <w:highlight w:val="none"/>
        </w:rPr>
      </w:pPr>
      <w:r>
        <w:rPr>
          <w:b/>
          <w:color w:val="auto"/>
          <w:highlight w:val="none"/>
        </w:rPr>
        <w:t>（置于投标文件的首页）</w:t>
      </w:r>
    </w:p>
    <w:p w14:paraId="1D10EF72">
      <w:pPr>
        <w:spacing w:line="360" w:lineRule="exact"/>
        <w:ind w:left="-420" w:leftChars="-200" w:right="-512" w:rightChars="-244" w:firstLine="440" w:firstLineChars="200"/>
        <w:rPr>
          <w:color w:val="auto"/>
          <w:sz w:val="22"/>
          <w:highlight w:val="none"/>
        </w:rPr>
      </w:pPr>
      <w:r>
        <w:rPr>
          <w:color w:val="auto"/>
          <w:sz w:val="22"/>
          <w:highlight w:val="none"/>
        </w:rPr>
        <w:t>为方便参与该项目的评委专家的评标，快速找到评标事项与该项目投标文件所对应的位置，请投标人参照下表格式，编制本项目评标指引表。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3103"/>
        <w:gridCol w:w="1064"/>
        <w:gridCol w:w="1439"/>
        <w:gridCol w:w="1160"/>
        <w:gridCol w:w="1100"/>
      </w:tblGrid>
      <w:tr w14:paraId="4354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000" w:type="pct"/>
            <w:gridSpan w:val="6"/>
          </w:tcPr>
          <w:p w14:paraId="1D95C39D">
            <w:pPr>
              <w:spacing w:line="360" w:lineRule="exact"/>
              <w:jc w:val="center"/>
              <w:rPr>
                <w:b/>
                <w:color w:val="auto"/>
                <w:sz w:val="22"/>
                <w:highlight w:val="none"/>
              </w:rPr>
            </w:pPr>
            <w:r>
              <w:rPr>
                <w:b/>
                <w:color w:val="auto"/>
                <w:sz w:val="22"/>
                <w:highlight w:val="none"/>
              </w:rPr>
              <w:t>一、资格性审查指引</w:t>
            </w:r>
          </w:p>
        </w:tc>
      </w:tr>
      <w:tr w14:paraId="38A8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7A9350A6">
            <w:pPr>
              <w:spacing w:line="360" w:lineRule="exact"/>
              <w:jc w:val="center"/>
              <w:rPr>
                <w:b/>
                <w:color w:val="auto"/>
                <w:sz w:val="22"/>
                <w:highlight w:val="none"/>
              </w:rPr>
            </w:pPr>
            <w:r>
              <w:rPr>
                <w:b/>
                <w:color w:val="auto"/>
                <w:sz w:val="22"/>
                <w:highlight w:val="none"/>
              </w:rPr>
              <w:t>序号</w:t>
            </w:r>
          </w:p>
        </w:tc>
        <w:tc>
          <w:tcPr>
            <w:tcW w:w="1825" w:type="pct"/>
            <w:vAlign w:val="center"/>
          </w:tcPr>
          <w:p w14:paraId="19B27399">
            <w:pPr>
              <w:spacing w:line="360" w:lineRule="exact"/>
              <w:jc w:val="center"/>
              <w:rPr>
                <w:b/>
                <w:color w:val="auto"/>
                <w:sz w:val="22"/>
                <w:highlight w:val="none"/>
              </w:rPr>
            </w:pPr>
            <w:r>
              <w:rPr>
                <w:b/>
                <w:color w:val="auto"/>
                <w:sz w:val="22"/>
                <w:highlight w:val="none"/>
              </w:rPr>
              <w:t>资格性检查项目</w:t>
            </w:r>
          </w:p>
        </w:tc>
        <w:tc>
          <w:tcPr>
            <w:tcW w:w="2163" w:type="pct"/>
            <w:gridSpan w:val="3"/>
            <w:vAlign w:val="center"/>
          </w:tcPr>
          <w:p w14:paraId="49077187">
            <w:pPr>
              <w:spacing w:line="360" w:lineRule="exact"/>
              <w:jc w:val="center"/>
              <w:rPr>
                <w:b/>
                <w:color w:val="auto"/>
                <w:sz w:val="22"/>
                <w:highlight w:val="none"/>
              </w:rPr>
            </w:pPr>
            <w:r>
              <w:rPr>
                <w:b/>
                <w:color w:val="auto"/>
                <w:sz w:val="22"/>
                <w:highlight w:val="none"/>
              </w:rPr>
              <w:t>证明文件</w:t>
            </w:r>
          </w:p>
        </w:tc>
        <w:tc>
          <w:tcPr>
            <w:tcW w:w="648" w:type="pct"/>
            <w:vAlign w:val="center"/>
          </w:tcPr>
          <w:p w14:paraId="297D0810">
            <w:pPr>
              <w:spacing w:line="360" w:lineRule="exact"/>
              <w:jc w:val="center"/>
              <w:rPr>
                <w:b/>
                <w:color w:val="auto"/>
                <w:sz w:val="22"/>
                <w:highlight w:val="none"/>
              </w:rPr>
            </w:pPr>
            <w:r>
              <w:rPr>
                <w:b/>
                <w:color w:val="auto"/>
                <w:sz w:val="22"/>
                <w:highlight w:val="none"/>
              </w:rPr>
              <w:t>起止页码</w:t>
            </w:r>
          </w:p>
        </w:tc>
      </w:tr>
      <w:tr w14:paraId="14C0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0A980A56">
            <w:pPr>
              <w:spacing w:line="360" w:lineRule="exact"/>
              <w:jc w:val="center"/>
              <w:rPr>
                <w:b/>
                <w:color w:val="auto"/>
                <w:sz w:val="22"/>
                <w:highlight w:val="none"/>
              </w:rPr>
            </w:pPr>
            <w:r>
              <w:rPr>
                <w:b/>
                <w:color w:val="auto"/>
                <w:sz w:val="22"/>
                <w:highlight w:val="none"/>
              </w:rPr>
              <w:t>1</w:t>
            </w:r>
          </w:p>
        </w:tc>
        <w:tc>
          <w:tcPr>
            <w:tcW w:w="1825" w:type="pct"/>
            <w:vAlign w:val="center"/>
          </w:tcPr>
          <w:p w14:paraId="5FAE63D5">
            <w:pPr>
              <w:spacing w:line="360" w:lineRule="exact"/>
              <w:jc w:val="center"/>
              <w:rPr>
                <w:b/>
                <w:color w:val="auto"/>
                <w:sz w:val="22"/>
                <w:highlight w:val="none"/>
              </w:rPr>
            </w:pPr>
          </w:p>
        </w:tc>
        <w:tc>
          <w:tcPr>
            <w:tcW w:w="2163" w:type="pct"/>
            <w:gridSpan w:val="3"/>
            <w:vAlign w:val="center"/>
          </w:tcPr>
          <w:p w14:paraId="7383417C">
            <w:pPr>
              <w:spacing w:line="360" w:lineRule="exact"/>
              <w:jc w:val="center"/>
              <w:rPr>
                <w:b/>
                <w:color w:val="auto"/>
                <w:sz w:val="22"/>
                <w:highlight w:val="none"/>
              </w:rPr>
            </w:pPr>
          </w:p>
        </w:tc>
        <w:tc>
          <w:tcPr>
            <w:tcW w:w="648" w:type="pct"/>
            <w:vAlign w:val="center"/>
          </w:tcPr>
          <w:p w14:paraId="7046443C">
            <w:pPr>
              <w:spacing w:line="360" w:lineRule="exact"/>
              <w:jc w:val="center"/>
              <w:rPr>
                <w:b/>
                <w:color w:val="auto"/>
                <w:sz w:val="22"/>
                <w:highlight w:val="none"/>
              </w:rPr>
            </w:pPr>
          </w:p>
        </w:tc>
      </w:tr>
      <w:tr w14:paraId="4290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55C1814C">
            <w:pPr>
              <w:spacing w:line="360" w:lineRule="exact"/>
              <w:jc w:val="center"/>
              <w:rPr>
                <w:b/>
                <w:color w:val="auto"/>
                <w:sz w:val="22"/>
                <w:highlight w:val="none"/>
              </w:rPr>
            </w:pPr>
            <w:r>
              <w:rPr>
                <w:b/>
                <w:color w:val="auto"/>
                <w:sz w:val="22"/>
                <w:highlight w:val="none"/>
              </w:rPr>
              <w:t>2</w:t>
            </w:r>
          </w:p>
        </w:tc>
        <w:tc>
          <w:tcPr>
            <w:tcW w:w="1825" w:type="pct"/>
            <w:vAlign w:val="center"/>
          </w:tcPr>
          <w:p w14:paraId="474E3146">
            <w:pPr>
              <w:spacing w:line="360" w:lineRule="exact"/>
              <w:jc w:val="center"/>
              <w:rPr>
                <w:b/>
                <w:color w:val="auto"/>
                <w:sz w:val="22"/>
                <w:highlight w:val="none"/>
              </w:rPr>
            </w:pPr>
          </w:p>
        </w:tc>
        <w:tc>
          <w:tcPr>
            <w:tcW w:w="2163" w:type="pct"/>
            <w:gridSpan w:val="3"/>
            <w:vAlign w:val="center"/>
          </w:tcPr>
          <w:p w14:paraId="2EA34435">
            <w:pPr>
              <w:spacing w:line="360" w:lineRule="exact"/>
              <w:jc w:val="center"/>
              <w:rPr>
                <w:b/>
                <w:color w:val="auto"/>
                <w:sz w:val="22"/>
                <w:highlight w:val="none"/>
              </w:rPr>
            </w:pPr>
          </w:p>
        </w:tc>
        <w:tc>
          <w:tcPr>
            <w:tcW w:w="648" w:type="pct"/>
            <w:vAlign w:val="center"/>
          </w:tcPr>
          <w:p w14:paraId="20A55C11">
            <w:pPr>
              <w:spacing w:line="360" w:lineRule="exact"/>
              <w:jc w:val="center"/>
              <w:rPr>
                <w:b/>
                <w:color w:val="auto"/>
                <w:sz w:val="22"/>
                <w:highlight w:val="none"/>
              </w:rPr>
            </w:pPr>
          </w:p>
        </w:tc>
      </w:tr>
      <w:tr w14:paraId="0C0D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7571310D">
            <w:pPr>
              <w:spacing w:line="360" w:lineRule="exact"/>
              <w:jc w:val="center"/>
              <w:rPr>
                <w:b/>
                <w:color w:val="auto"/>
                <w:sz w:val="22"/>
                <w:highlight w:val="none"/>
              </w:rPr>
            </w:pPr>
            <w:r>
              <w:rPr>
                <w:b/>
                <w:color w:val="auto"/>
                <w:sz w:val="22"/>
                <w:highlight w:val="none"/>
              </w:rPr>
              <w:t>……</w:t>
            </w:r>
          </w:p>
        </w:tc>
        <w:tc>
          <w:tcPr>
            <w:tcW w:w="1825" w:type="pct"/>
            <w:vAlign w:val="center"/>
          </w:tcPr>
          <w:p w14:paraId="5961DA58">
            <w:pPr>
              <w:spacing w:line="360" w:lineRule="exact"/>
              <w:jc w:val="center"/>
              <w:rPr>
                <w:b/>
                <w:color w:val="auto"/>
                <w:sz w:val="22"/>
                <w:highlight w:val="none"/>
              </w:rPr>
            </w:pPr>
            <w:r>
              <w:rPr>
                <w:b/>
                <w:color w:val="auto"/>
                <w:sz w:val="22"/>
                <w:highlight w:val="none"/>
              </w:rPr>
              <w:t>…………</w:t>
            </w:r>
          </w:p>
        </w:tc>
        <w:tc>
          <w:tcPr>
            <w:tcW w:w="2163" w:type="pct"/>
            <w:gridSpan w:val="3"/>
            <w:vAlign w:val="center"/>
          </w:tcPr>
          <w:p w14:paraId="439AFDB3">
            <w:pPr>
              <w:spacing w:line="360" w:lineRule="exact"/>
              <w:jc w:val="center"/>
              <w:rPr>
                <w:b/>
                <w:color w:val="auto"/>
                <w:sz w:val="22"/>
                <w:highlight w:val="none"/>
              </w:rPr>
            </w:pPr>
          </w:p>
        </w:tc>
        <w:tc>
          <w:tcPr>
            <w:tcW w:w="648" w:type="pct"/>
            <w:vAlign w:val="center"/>
          </w:tcPr>
          <w:p w14:paraId="5AD7A50F">
            <w:pPr>
              <w:spacing w:line="360" w:lineRule="exact"/>
              <w:jc w:val="center"/>
              <w:rPr>
                <w:b/>
                <w:color w:val="auto"/>
                <w:sz w:val="22"/>
                <w:highlight w:val="none"/>
              </w:rPr>
            </w:pPr>
          </w:p>
        </w:tc>
      </w:tr>
      <w:tr w14:paraId="4DC0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000" w:type="pct"/>
            <w:gridSpan w:val="6"/>
          </w:tcPr>
          <w:p w14:paraId="05A02EF9">
            <w:pPr>
              <w:spacing w:line="360" w:lineRule="exact"/>
              <w:jc w:val="center"/>
              <w:rPr>
                <w:b/>
                <w:color w:val="auto"/>
                <w:sz w:val="22"/>
                <w:highlight w:val="none"/>
              </w:rPr>
            </w:pPr>
            <w:r>
              <w:rPr>
                <w:b/>
                <w:color w:val="auto"/>
                <w:sz w:val="22"/>
                <w:highlight w:val="none"/>
              </w:rPr>
              <w:t>二、符合性审查指引</w:t>
            </w:r>
          </w:p>
        </w:tc>
      </w:tr>
      <w:tr w14:paraId="2926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2EEBBB5C">
            <w:pPr>
              <w:spacing w:line="360" w:lineRule="exact"/>
              <w:jc w:val="center"/>
              <w:rPr>
                <w:b/>
                <w:color w:val="auto"/>
                <w:sz w:val="22"/>
                <w:highlight w:val="none"/>
              </w:rPr>
            </w:pPr>
            <w:r>
              <w:rPr>
                <w:b/>
                <w:color w:val="auto"/>
                <w:sz w:val="22"/>
                <w:highlight w:val="none"/>
              </w:rPr>
              <w:t>序号</w:t>
            </w:r>
          </w:p>
        </w:tc>
        <w:tc>
          <w:tcPr>
            <w:tcW w:w="1825" w:type="pct"/>
            <w:vAlign w:val="center"/>
          </w:tcPr>
          <w:p w14:paraId="483D5BB3">
            <w:pPr>
              <w:spacing w:line="360" w:lineRule="exact"/>
              <w:jc w:val="center"/>
              <w:rPr>
                <w:b/>
                <w:color w:val="auto"/>
                <w:sz w:val="22"/>
                <w:highlight w:val="none"/>
              </w:rPr>
            </w:pPr>
            <w:r>
              <w:rPr>
                <w:b/>
                <w:color w:val="auto"/>
                <w:sz w:val="22"/>
                <w:highlight w:val="none"/>
              </w:rPr>
              <w:t>符合性检查项目</w:t>
            </w:r>
          </w:p>
        </w:tc>
        <w:tc>
          <w:tcPr>
            <w:tcW w:w="2163" w:type="pct"/>
            <w:gridSpan w:val="3"/>
            <w:vAlign w:val="center"/>
          </w:tcPr>
          <w:p w14:paraId="63B223A9">
            <w:pPr>
              <w:spacing w:line="360" w:lineRule="exact"/>
              <w:jc w:val="center"/>
              <w:rPr>
                <w:b/>
                <w:color w:val="auto"/>
                <w:sz w:val="22"/>
                <w:highlight w:val="none"/>
              </w:rPr>
            </w:pPr>
            <w:r>
              <w:rPr>
                <w:b/>
                <w:color w:val="auto"/>
                <w:sz w:val="22"/>
                <w:highlight w:val="none"/>
              </w:rPr>
              <w:t>说明</w:t>
            </w:r>
          </w:p>
        </w:tc>
        <w:tc>
          <w:tcPr>
            <w:tcW w:w="648" w:type="pct"/>
            <w:vAlign w:val="center"/>
          </w:tcPr>
          <w:p w14:paraId="60B6B4C4">
            <w:pPr>
              <w:spacing w:line="360" w:lineRule="exact"/>
              <w:jc w:val="center"/>
              <w:rPr>
                <w:b/>
                <w:color w:val="auto"/>
                <w:sz w:val="22"/>
                <w:highlight w:val="none"/>
              </w:rPr>
            </w:pPr>
            <w:r>
              <w:rPr>
                <w:b/>
                <w:color w:val="auto"/>
                <w:sz w:val="22"/>
                <w:highlight w:val="none"/>
              </w:rPr>
              <w:t>起止页码</w:t>
            </w:r>
          </w:p>
        </w:tc>
      </w:tr>
      <w:tr w14:paraId="616B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6E9F9A7A">
            <w:pPr>
              <w:spacing w:line="360" w:lineRule="exact"/>
              <w:jc w:val="center"/>
              <w:rPr>
                <w:b/>
                <w:color w:val="auto"/>
                <w:sz w:val="22"/>
                <w:highlight w:val="none"/>
              </w:rPr>
            </w:pPr>
            <w:r>
              <w:rPr>
                <w:b/>
                <w:color w:val="auto"/>
                <w:sz w:val="22"/>
                <w:highlight w:val="none"/>
              </w:rPr>
              <w:t>1</w:t>
            </w:r>
          </w:p>
        </w:tc>
        <w:tc>
          <w:tcPr>
            <w:tcW w:w="1825" w:type="pct"/>
          </w:tcPr>
          <w:p w14:paraId="43F62887">
            <w:pPr>
              <w:spacing w:line="360" w:lineRule="exact"/>
              <w:jc w:val="center"/>
              <w:rPr>
                <w:b/>
                <w:color w:val="auto"/>
                <w:sz w:val="22"/>
                <w:highlight w:val="none"/>
              </w:rPr>
            </w:pPr>
          </w:p>
        </w:tc>
        <w:tc>
          <w:tcPr>
            <w:tcW w:w="2163" w:type="pct"/>
            <w:gridSpan w:val="3"/>
            <w:vAlign w:val="center"/>
          </w:tcPr>
          <w:p w14:paraId="2CDA72C0">
            <w:pPr>
              <w:spacing w:line="360" w:lineRule="exact"/>
              <w:jc w:val="center"/>
              <w:rPr>
                <w:b/>
                <w:color w:val="auto"/>
                <w:sz w:val="22"/>
                <w:highlight w:val="none"/>
              </w:rPr>
            </w:pPr>
          </w:p>
        </w:tc>
        <w:tc>
          <w:tcPr>
            <w:tcW w:w="648" w:type="pct"/>
            <w:vAlign w:val="center"/>
          </w:tcPr>
          <w:p w14:paraId="2316FDA9">
            <w:pPr>
              <w:spacing w:line="360" w:lineRule="exact"/>
              <w:jc w:val="center"/>
              <w:rPr>
                <w:b/>
                <w:color w:val="auto"/>
                <w:sz w:val="22"/>
                <w:highlight w:val="none"/>
              </w:rPr>
            </w:pPr>
          </w:p>
        </w:tc>
      </w:tr>
      <w:tr w14:paraId="2710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5E7D4E47">
            <w:pPr>
              <w:spacing w:line="360" w:lineRule="exact"/>
              <w:jc w:val="center"/>
              <w:rPr>
                <w:b/>
                <w:color w:val="auto"/>
                <w:sz w:val="22"/>
                <w:highlight w:val="none"/>
              </w:rPr>
            </w:pPr>
            <w:r>
              <w:rPr>
                <w:b/>
                <w:color w:val="auto"/>
                <w:sz w:val="22"/>
                <w:highlight w:val="none"/>
              </w:rPr>
              <w:t>2</w:t>
            </w:r>
          </w:p>
        </w:tc>
        <w:tc>
          <w:tcPr>
            <w:tcW w:w="1825" w:type="pct"/>
          </w:tcPr>
          <w:p w14:paraId="2DEC5A70">
            <w:pPr>
              <w:spacing w:line="360" w:lineRule="exact"/>
              <w:jc w:val="center"/>
              <w:rPr>
                <w:b/>
                <w:color w:val="auto"/>
                <w:sz w:val="22"/>
                <w:highlight w:val="none"/>
              </w:rPr>
            </w:pPr>
          </w:p>
        </w:tc>
        <w:tc>
          <w:tcPr>
            <w:tcW w:w="2163" w:type="pct"/>
            <w:gridSpan w:val="3"/>
            <w:vAlign w:val="center"/>
          </w:tcPr>
          <w:p w14:paraId="0BF7B190">
            <w:pPr>
              <w:spacing w:line="360" w:lineRule="exact"/>
              <w:jc w:val="center"/>
              <w:rPr>
                <w:b/>
                <w:color w:val="auto"/>
                <w:sz w:val="22"/>
                <w:highlight w:val="none"/>
              </w:rPr>
            </w:pPr>
          </w:p>
        </w:tc>
        <w:tc>
          <w:tcPr>
            <w:tcW w:w="648" w:type="pct"/>
            <w:vAlign w:val="center"/>
          </w:tcPr>
          <w:p w14:paraId="08A83C4B">
            <w:pPr>
              <w:spacing w:line="360" w:lineRule="exact"/>
              <w:jc w:val="center"/>
              <w:rPr>
                <w:b/>
                <w:color w:val="auto"/>
                <w:sz w:val="22"/>
                <w:highlight w:val="none"/>
              </w:rPr>
            </w:pPr>
          </w:p>
        </w:tc>
      </w:tr>
      <w:tr w14:paraId="79AD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62A78C38">
            <w:pPr>
              <w:spacing w:line="360" w:lineRule="exact"/>
              <w:jc w:val="center"/>
              <w:rPr>
                <w:b/>
                <w:color w:val="auto"/>
                <w:sz w:val="22"/>
                <w:highlight w:val="none"/>
              </w:rPr>
            </w:pPr>
            <w:r>
              <w:rPr>
                <w:b/>
                <w:color w:val="auto"/>
                <w:sz w:val="22"/>
                <w:highlight w:val="none"/>
              </w:rPr>
              <w:t>3</w:t>
            </w:r>
          </w:p>
        </w:tc>
        <w:tc>
          <w:tcPr>
            <w:tcW w:w="1825" w:type="pct"/>
          </w:tcPr>
          <w:p w14:paraId="212E7078">
            <w:pPr>
              <w:spacing w:line="360" w:lineRule="exact"/>
              <w:jc w:val="center"/>
              <w:rPr>
                <w:b/>
                <w:color w:val="auto"/>
                <w:sz w:val="22"/>
                <w:highlight w:val="none"/>
              </w:rPr>
            </w:pPr>
          </w:p>
        </w:tc>
        <w:tc>
          <w:tcPr>
            <w:tcW w:w="2163" w:type="pct"/>
            <w:gridSpan w:val="3"/>
            <w:vAlign w:val="center"/>
          </w:tcPr>
          <w:p w14:paraId="1D225EAA">
            <w:pPr>
              <w:spacing w:line="360" w:lineRule="exact"/>
              <w:jc w:val="center"/>
              <w:rPr>
                <w:b/>
                <w:color w:val="auto"/>
                <w:sz w:val="22"/>
                <w:highlight w:val="none"/>
              </w:rPr>
            </w:pPr>
          </w:p>
        </w:tc>
        <w:tc>
          <w:tcPr>
            <w:tcW w:w="648" w:type="pct"/>
            <w:vAlign w:val="center"/>
          </w:tcPr>
          <w:p w14:paraId="437620E1">
            <w:pPr>
              <w:spacing w:line="360" w:lineRule="exact"/>
              <w:jc w:val="center"/>
              <w:rPr>
                <w:b/>
                <w:color w:val="auto"/>
                <w:sz w:val="22"/>
                <w:highlight w:val="none"/>
              </w:rPr>
            </w:pPr>
          </w:p>
        </w:tc>
      </w:tr>
      <w:tr w14:paraId="182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28955297">
            <w:pPr>
              <w:spacing w:line="360" w:lineRule="exact"/>
              <w:jc w:val="center"/>
              <w:rPr>
                <w:b/>
                <w:color w:val="auto"/>
                <w:sz w:val="22"/>
                <w:highlight w:val="none"/>
              </w:rPr>
            </w:pPr>
            <w:r>
              <w:rPr>
                <w:b/>
                <w:color w:val="auto"/>
                <w:sz w:val="22"/>
                <w:highlight w:val="none"/>
              </w:rPr>
              <w:t>4</w:t>
            </w:r>
          </w:p>
        </w:tc>
        <w:tc>
          <w:tcPr>
            <w:tcW w:w="1825" w:type="pct"/>
          </w:tcPr>
          <w:p w14:paraId="6A854300">
            <w:pPr>
              <w:spacing w:line="360" w:lineRule="exact"/>
              <w:jc w:val="center"/>
              <w:rPr>
                <w:b/>
                <w:color w:val="auto"/>
                <w:sz w:val="22"/>
                <w:highlight w:val="none"/>
              </w:rPr>
            </w:pPr>
          </w:p>
        </w:tc>
        <w:tc>
          <w:tcPr>
            <w:tcW w:w="2163" w:type="pct"/>
            <w:gridSpan w:val="3"/>
            <w:vAlign w:val="center"/>
          </w:tcPr>
          <w:p w14:paraId="5ABDD889">
            <w:pPr>
              <w:spacing w:line="360" w:lineRule="exact"/>
              <w:jc w:val="center"/>
              <w:rPr>
                <w:b/>
                <w:color w:val="auto"/>
                <w:sz w:val="22"/>
                <w:highlight w:val="none"/>
              </w:rPr>
            </w:pPr>
          </w:p>
        </w:tc>
        <w:tc>
          <w:tcPr>
            <w:tcW w:w="648" w:type="pct"/>
            <w:vAlign w:val="center"/>
          </w:tcPr>
          <w:p w14:paraId="734579FD">
            <w:pPr>
              <w:spacing w:line="360" w:lineRule="exact"/>
              <w:jc w:val="center"/>
              <w:rPr>
                <w:b/>
                <w:color w:val="auto"/>
                <w:sz w:val="22"/>
                <w:highlight w:val="none"/>
              </w:rPr>
            </w:pPr>
          </w:p>
        </w:tc>
      </w:tr>
      <w:tr w14:paraId="75A0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1C8710AF">
            <w:pPr>
              <w:spacing w:line="360" w:lineRule="exact"/>
              <w:jc w:val="center"/>
              <w:rPr>
                <w:b/>
                <w:color w:val="auto"/>
                <w:sz w:val="22"/>
                <w:highlight w:val="none"/>
              </w:rPr>
            </w:pPr>
            <w:r>
              <w:rPr>
                <w:b/>
                <w:color w:val="auto"/>
                <w:sz w:val="22"/>
                <w:highlight w:val="none"/>
              </w:rPr>
              <w:t>5</w:t>
            </w:r>
          </w:p>
        </w:tc>
        <w:tc>
          <w:tcPr>
            <w:tcW w:w="1825" w:type="pct"/>
          </w:tcPr>
          <w:p w14:paraId="7EB3E411">
            <w:pPr>
              <w:spacing w:line="360" w:lineRule="exact"/>
              <w:jc w:val="center"/>
              <w:rPr>
                <w:color w:val="auto"/>
                <w:sz w:val="22"/>
                <w:highlight w:val="none"/>
              </w:rPr>
            </w:pPr>
          </w:p>
        </w:tc>
        <w:tc>
          <w:tcPr>
            <w:tcW w:w="2163" w:type="pct"/>
            <w:gridSpan w:val="3"/>
            <w:vAlign w:val="center"/>
          </w:tcPr>
          <w:p w14:paraId="71891F03">
            <w:pPr>
              <w:spacing w:line="360" w:lineRule="exact"/>
              <w:jc w:val="center"/>
              <w:rPr>
                <w:b/>
                <w:color w:val="auto"/>
                <w:sz w:val="22"/>
                <w:highlight w:val="none"/>
              </w:rPr>
            </w:pPr>
          </w:p>
        </w:tc>
        <w:tc>
          <w:tcPr>
            <w:tcW w:w="648" w:type="pct"/>
            <w:vAlign w:val="center"/>
          </w:tcPr>
          <w:p w14:paraId="22D74C14">
            <w:pPr>
              <w:spacing w:line="360" w:lineRule="exact"/>
              <w:jc w:val="center"/>
              <w:rPr>
                <w:b/>
                <w:color w:val="auto"/>
                <w:sz w:val="22"/>
                <w:highlight w:val="none"/>
              </w:rPr>
            </w:pPr>
          </w:p>
        </w:tc>
      </w:tr>
      <w:tr w14:paraId="2037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2D0A23EC">
            <w:pPr>
              <w:spacing w:line="360" w:lineRule="exact"/>
              <w:jc w:val="center"/>
              <w:rPr>
                <w:b/>
                <w:color w:val="auto"/>
                <w:sz w:val="22"/>
                <w:highlight w:val="none"/>
              </w:rPr>
            </w:pPr>
            <w:r>
              <w:rPr>
                <w:b/>
                <w:color w:val="auto"/>
                <w:sz w:val="22"/>
                <w:highlight w:val="none"/>
              </w:rPr>
              <w:t>6</w:t>
            </w:r>
          </w:p>
        </w:tc>
        <w:tc>
          <w:tcPr>
            <w:tcW w:w="1825" w:type="pct"/>
          </w:tcPr>
          <w:p w14:paraId="207FAC51">
            <w:pPr>
              <w:spacing w:line="360" w:lineRule="exact"/>
              <w:jc w:val="center"/>
              <w:rPr>
                <w:color w:val="auto"/>
                <w:sz w:val="22"/>
                <w:highlight w:val="none"/>
              </w:rPr>
            </w:pPr>
          </w:p>
        </w:tc>
        <w:tc>
          <w:tcPr>
            <w:tcW w:w="2163" w:type="pct"/>
            <w:gridSpan w:val="3"/>
            <w:vAlign w:val="center"/>
          </w:tcPr>
          <w:p w14:paraId="151F24E2">
            <w:pPr>
              <w:spacing w:line="360" w:lineRule="exact"/>
              <w:jc w:val="center"/>
              <w:rPr>
                <w:b/>
                <w:color w:val="auto"/>
                <w:sz w:val="22"/>
                <w:highlight w:val="none"/>
              </w:rPr>
            </w:pPr>
          </w:p>
        </w:tc>
        <w:tc>
          <w:tcPr>
            <w:tcW w:w="648" w:type="pct"/>
            <w:vAlign w:val="center"/>
          </w:tcPr>
          <w:p w14:paraId="3AC2900D">
            <w:pPr>
              <w:spacing w:line="360" w:lineRule="exact"/>
              <w:jc w:val="center"/>
              <w:rPr>
                <w:b/>
                <w:color w:val="auto"/>
                <w:sz w:val="22"/>
                <w:highlight w:val="none"/>
              </w:rPr>
            </w:pPr>
          </w:p>
        </w:tc>
      </w:tr>
      <w:tr w14:paraId="7D0A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082EA1EF">
            <w:pPr>
              <w:spacing w:line="360" w:lineRule="exact"/>
              <w:jc w:val="center"/>
              <w:rPr>
                <w:b/>
                <w:color w:val="auto"/>
                <w:sz w:val="22"/>
                <w:highlight w:val="none"/>
              </w:rPr>
            </w:pPr>
            <w:r>
              <w:rPr>
                <w:b/>
                <w:color w:val="auto"/>
                <w:sz w:val="22"/>
                <w:highlight w:val="none"/>
              </w:rPr>
              <w:t>7</w:t>
            </w:r>
          </w:p>
        </w:tc>
        <w:tc>
          <w:tcPr>
            <w:tcW w:w="1825" w:type="pct"/>
          </w:tcPr>
          <w:p w14:paraId="4103E61E">
            <w:pPr>
              <w:spacing w:line="360" w:lineRule="exact"/>
              <w:jc w:val="center"/>
              <w:rPr>
                <w:color w:val="auto"/>
                <w:sz w:val="22"/>
                <w:highlight w:val="none"/>
              </w:rPr>
            </w:pPr>
          </w:p>
        </w:tc>
        <w:tc>
          <w:tcPr>
            <w:tcW w:w="2163" w:type="pct"/>
            <w:gridSpan w:val="3"/>
            <w:vAlign w:val="center"/>
          </w:tcPr>
          <w:p w14:paraId="5E409FCF">
            <w:pPr>
              <w:spacing w:line="360" w:lineRule="exact"/>
              <w:jc w:val="center"/>
              <w:rPr>
                <w:b/>
                <w:color w:val="auto"/>
                <w:sz w:val="22"/>
                <w:highlight w:val="none"/>
              </w:rPr>
            </w:pPr>
          </w:p>
        </w:tc>
        <w:tc>
          <w:tcPr>
            <w:tcW w:w="648" w:type="pct"/>
            <w:vAlign w:val="center"/>
          </w:tcPr>
          <w:p w14:paraId="2452CCAF">
            <w:pPr>
              <w:spacing w:line="360" w:lineRule="exact"/>
              <w:jc w:val="center"/>
              <w:rPr>
                <w:b/>
                <w:color w:val="auto"/>
                <w:sz w:val="22"/>
                <w:highlight w:val="none"/>
              </w:rPr>
            </w:pPr>
          </w:p>
        </w:tc>
      </w:tr>
      <w:tr w14:paraId="7AAE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59C7E535">
            <w:pPr>
              <w:spacing w:line="360" w:lineRule="exact"/>
              <w:jc w:val="center"/>
              <w:rPr>
                <w:b/>
                <w:color w:val="auto"/>
                <w:sz w:val="22"/>
                <w:highlight w:val="none"/>
              </w:rPr>
            </w:pPr>
            <w:r>
              <w:rPr>
                <w:b/>
                <w:color w:val="auto"/>
                <w:sz w:val="22"/>
                <w:highlight w:val="none"/>
              </w:rPr>
              <w:t>8</w:t>
            </w:r>
          </w:p>
        </w:tc>
        <w:tc>
          <w:tcPr>
            <w:tcW w:w="1825" w:type="pct"/>
          </w:tcPr>
          <w:p w14:paraId="3B9CE8EA">
            <w:pPr>
              <w:spacing w:line="360" w:lineRule="exact"/>
              <w:jc w:val="center"/>
              <w:rPr>
                <w:b/>
                <w:color w:val="auto"/>
                <w:sz w:val="22"/>
                <w:highlight w:val="none"/>
              </w:rPr>
            </w:pPr>
          </w:p>
        </w:tc>
        <w:tc>
          <w:tcPr>
            <w:tcW w:w="2163" w:type="pct"/>
            <w:gridSpan w:val="3"/>
            <w:vAlign w:val="center"/>
          </w:tcPr>
          <w:p w14:paraId="6579DDD2">
            <w:pPr>
              <w:spacing w:line="360" w:lineRule="exact"/>
              <w:jc w:val="center"/>
              <w:rPr>
                <w:b/>
                <w:color w:val="auto"/>
                <w:sz w:val="22"/>
                <w:highlight w:val="none"/>
              </w:rPr>
            </w:pPr>
          </w:p>
        </w:tc>
        <w:tc>
          <w:tcPr>
            <w:tcW w:w="648" w:type="pct"/>
            <w:vAlign w:val="center"/>
          </w:tcPr>
          <w:p w14:paraId="7C3E8173">
            <w:pPr>
              <w:spacing w:line="360" w:lineRule="exact"/>
              <w:jc w:val="center"/>
              <w:rPr>
                <w:b/>
                <w:color w:val="auto"/>
                <w:sz w:val="22"/>
                <w:highlight w:val="none"/>
              </w:rPr>
            </w:pPr>
          </w:p>
        </w:tc>
      </w:tr>
      <w:tr w14:paraId="7F9D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000" w:type="pct"/>
            <w:gridSpan w:val="6"/>
          </w:tcPr>
          <w:p w14:paraId="725BF6B6">
            <w:pPr>
              <w:spacing w:line="360" w:lineRule="exact"/>
              <w:jc w:val="center"/>
              <w:rPr>
                <w:b/>
                <w:color w:val="auto"/>
                <w:sz w:val="22"/>
                <w:highlight w:val="none"/>
              </w:rPr>
            </w:pPr>
            <w:r>
              <w:rPr>
                <w:b/>
                <w:color w:val="auto"/>
                <w:sz w:val="22"/>
                <w:highlight w:val="none"/>
              </w:rPr>
              <w:t>三、综合评分指引</w:t>
            </w:r>
          </w:p>
        </w:tc>
      </w:tr>
      <w:tr w14:paraId="1B34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tcPr>
          <w:p w14:paraId="30E33D15">
            <w:pPr>
              <w:spacing w:line="360" w:lineRule="exact"/>
              <w:jc w:val="center"/>
              <w:rPr>
                <w:b/>
                <w:color w:val="auto"/>
                <w:sz w:val="22"/>
                <w:highlight w:val="none"/>
              </w:rPr>
            </w:pPr>
            <w:r>
              <w:rPr>
                <w:b/>
                <w:color w:val="auto"/>
                <w:sz w:val="22"/>
                <w:highlight w:val="none"/>
              </w:rPr>
              <w:t>评分类别</w:t>
            </w:r>
          </w:p>
        </w:tc>
        <w:tc>
          <w:tcPr>
            <w:tcW w:w="2454" w:type="pct"/>
            <w:gridSpan w:val="2"/>
            <w:vAlign w:val="center"/>
          </w:tcPr>
          <w:p w14:paraId="13BBE6ED">
            <w:pPr>
              <w:spacing w:line="360" w:lineRule="exact"/>
              <w:jc w:val="center"/>
              <w:rPr>
                <w:b/>
                <w:color w:val="auto"/>
                <w:sz w:val="22"/>
                <w:highlight w:val="none"/>
              </w:rPr>
            </w:pPr>
            <w:r>
              <w:rPr>
                <w:b/>
                <w:color w:val="auto"/>
                <w:sz w:val="22"/>
                <w:highlight w:val="none"/>
              </w:rPr>
              <w:t>评分项目</w:t>
            </w:r>
          </w:p>
        </w:tc>
        <w:tc>
          <w:tcPr>
            <w:tcW w:w="849" w:type="pct"/>
            <w:vAlign w:val="center"/>
          </w:tcPr>
          <w:p w14:paraId="5FB50191">
            <w:pPr>
              <w:spacing w:line="360" w:lineRule="exact"/>
              <w:jc w:val="center"/>
              <w:rPr>
                <w:b/>
                <w:color w:val="auto"/>
                <w:sz w:val="22"/>
                <w:highlight w:val="none"/>
              </w:rPr>
            </w:pPr>
            <w:r>
              <w:rPr>
                <w:b/>
                <w:color w:val="auto"/>
                <w:sz w:val="22"/>
                <w:highlight w:val="none"/>
              </w:rPr>
              <w:t>分值</w:t>
            </w:r>
          </w:p>
          <w:p w14:paraId="6145DBA3">
            <w:pPr>
              <w:spacing w:line="360" w:lineRule="exact"/>
              <w:jc w:val="center"/>
              <w:rPr>
                <w:b/>
                <w:color w:val="auto"/>
                <w:sz w:val="22"/>
                <w:highlight w:val="none"/>
              </w:rPr>
            </w:pPr>
            <w:r>
              <w:rPr>
                <w:b/>
                <w:color w:val="auto"/>
                <w:sz w:val="22"/>
                <w:highlight w:val="none"/>
              </w:rPr>
              <w:t>（或权重）</w:t>
            </w:r>
          </w:p>
        </w:tc>
        <w:tc>
          <w:tcPr>
            <w:tcW w:w="685" w:type="pct"/>
            <w:vAlign w:val="center"/>
          </w:tcPr>
          <w:p w14:paraId="098C2B88">
            <w:pPr>
              <w:spacing w:line="360" w:lineRule="exact"/>
              <w:jc w:val="center"/>
              <w:rPr>
                <w:b/>
                <w:color w:val="auto"/>
                <w:sz w:val="22"/>
                <w:highlight w:val="none"/>
              </w:rPr>
            </w:pPr>
            <w:r>
              <w:rPr>
                <w:b/>
                <w:color w:val="auto"/>
                <w:sz w:val="22"/>
                <w:highlight w:val="none"/>
              </w:rPr>
              <w:t>对应章节</w:t>
            </w:r>
          </w:p>
        </w:tc>
        <w:tc>
          <w:tcPr>
            <w:tcW w:w="648" w:type="pct"/>
            <w:vAlign w:val="center"/>
          </w:tcPr>
          <w:p w14:paraId="773B5CC6">
            <w:pPr>
              <w:spacing w:line="360" w:lineRule="exact"/>
              <w:jc w:val="center"/>
              <w:rPr>
                <w:b/>
                <w:color w:val="auto"/>
                <w:sz w:val="22"/>
                <w:highlight w:val="none"/>
              </w:rPr>
            </w:pPr>
            <w:r>
              <w:rPr>
                <w:b/>
                <w:color w:val="auto"/>
                <w:sz w:val="22"/>
                <w:highlight w:val="none"/>
              </w:rPr>
              <w:t>起止页码</w:t>
            </w:r>
          </w:p>
        </w:tc>
      </w:tr>
      <w:tr w14:paraId="6C56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62" w:type="pct"/>
            <w:vMerge w:val="restart"/>
            <w:vAlign w:val="center"/>
          </w:tcPr>
          <w:p w14:paraId="7F15AF2A">
            <w:pPr>
              <w:spacing w:line="360" w:lineRule="exact"/>
              <w:jc w:val="center"/>
              <w:rPr>
                <w:b/>
                <w:color w:val="auto"/>
                <w:sz w:val="22"/>
                <w:highlight w:val="none"/>
              </w:rPr>
            </w:pPr>
            <w:r>
              <w:rPr>
                <w:rFonts w:hint="eastAsia"/>
                <w:b/>
                <w:color w:val="auto"/>
                <w:sz w:val="22"/>
                <w:highlight w:val="none"/>
              </w:rPr>
              <w:t>技术</w:t>
            </w:r>
            <w:r>
              <w:rPr>
                <w:b/>
                <w:color w:val="auto"/>
                <w:sz w:val="22"/>
                <w:highlight w:val="none"/>
              </w:rPr>
              <w:t>部分</w:t>
            </w:r>
          </w:p>
        </w:tc>
        <w:tc>
          <w:tcPr>
            <w:tcW w:w="2454" w:type="pct"/>
            <w:gridSpan w:val="2"/>
          </w:tcPr>
          <w:p w14:paraId="1E01A2B5">
            <w:pPr>
              <w:spacing w:line="360" w:lineRule="exact"/>
              <w:jc w:val="center"/>
              <w:rPr>
                <w:b/>
                <w:color w:val="auto"/>
                <w:sz w:val="22"/>
                <w:highlight w:val="none"/>
              </w:rPr>
            </w:pPr>
            <w:r>
              <w:rPr>
                <w:b/>
                <w:color w:val="auto"/>
                <w:sz w:val="22"/>
                <w:highlight w:val="none"/>
              </w:rPr>
              <w:t>1.…………</w:t>
            </w:r>
          </w:p>
        </w:tc>
        <w:tc>
          <w:tcPr>
            <w:tcW w:w="849" w:type="pct"/>
          </w:tcPr>
          <w:p w14:paraId="25E50E11">
            <w:pPr>
              <w:spacing w:line="360" w:lineRule="exact"/>
              <w:jc w:val="center"/>
              <w:rPr>
                <w:b/>
                <w:color w:val="auto"/>
                <w:sz w:val="22"/>
                <w:highlight w:val="none"/>
              </w:rPr>
            </w:pPr>
          </w:p>
        </w:tc>
        <w:tc>
          <w:tcPr>
            <w:tcW w:w="685" w:type="pct"/>
          </w:tcPr>
          <w:p w14:paraId="108C63D0">
            <w:pPr>
              <w:spacing w:line="360" w:lineRule="exact"/>
              <w:jc w:val="center"/>
              <w:rPr>
                <w:b/>
                <w:color w:val="auto"/>
                <w:sz w:val="22"/>
                <w:highlight w:val="none"/>
              </w:rPr>
            </w:pPr>
          </w:p>
        </w:tc>
        <w:tc>
          <w:tcPr>
            <w:tcW w:w="648" w:type="pct"/>
          </w:tcPr>
          <w:p w14:paraId="33FD4DDB">
            <w:pPr>
              <w:spacing w:line="360" w:lineRule="exact"/>
              <w:jc w:val="center"/>
              <w:rPr>
                <w:b/>
                <w:color w:val="auto"/>
                <w:sz w:val="22"/>
                <w:highlight w:val="none"/>
              </w:rPr>
            </w:pPr>
          </w:p>
        </w:tc>
      </w:tr>
      <w:tr w14:paraId="15D5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62" w:type="pct"/>
            <w:vMerge w:val="continue"/>
            <w:vAlign w:val="center"/>
          </w:tcPr>
          <w:p w14:paraId="7B0EB686">
            <w:pPr>
              <w:spacing w:line="360" w:lineRule="exact"/>
              <w:jc w:val="center"/>
              <w:rPr>
                <w:b/>
                <w:color w:val="auto"/>
                <w:sz w:val="22"/>
                <w:highlight w:val="none"/>
              </w:rPr>
            </w:pPr>
          </w:p>
        </w:tc>
        <w:tc>
          <w:tcPr>
            <w:tcW w:w="2454" w:type="pct"/>
            <w:gridSpan w:val="2"/>
          </w:tcPr>
          <w:p w14:paraId="194027A2">
            <w:pPr>
              <w:spacing w:line="360" w:lineRule="exact"/>
              <w:jc w:val="center"/>
              <w:rPr>
                <w:b/>
                <w:color w:val="auto"/>
                <w:sz w:val="22"/>
                <w:highlight w:val="none"/>
              </w:rPr>
            </w:pPr>
            <w:r>
              <w:rPr>
                <w:b/>
                <w:color w:val="auto"/>
                <w:sz w:val="22"/>
                <w:highlight w:val="none"/>
              </w:rPr>
              <w:t>2.…………</w:t>
            </w:r>
          </w:p>
        </w:tc>
        <w:tc>
          <w:tcPr>
            <w:tcW w:w="849" w:type="pct"/>
          </w:tcPr>
          <w:p w14:paraId="510D80D9">
            <w:pPr>
              <w:spacing w:line="360" w:lineRule="exact"/>
              <w:jc w:val="center"/>
              <w:rPr>
                <w:b/>
                <w:color w:val="auto"/>
                <w:sz w:val="22"/>
                <w:highlight w:val="none"/>
              </w:rPr>
            </w:pPr>
          </w:p>
        </w:tc>
        <w:tc>
          <w:tcPr>
            <w:tcW w:w="685" w:type="pct"/>
          </w:tcPr>
          <w:p w14:paraId="62989C45">
            <w:pPr>
              <w:spacing w:line="360" w:lineRule="exact"/>
              <w:jc w:val="center"/>
              <w:rPr>
                <w:b/>
                <w:color w:val="auto"/>
                <w:sz w:val="22"/>
                <w:highlight w:val="none"/>
              </w:rPr>
            </w:pPr>
          </w:p>
        </w:tc>
        <w:tc>
          <w:tcPr>
            <w:tcW w:w="648" w:type="pct"/>
          </w:tcPr>
          <w:p w14:paraId="5E606497">
            <w:pPr>
              <w:spacing w:line="360" w:lineRule="exact"/>
              <w:jc w:val="center"/>
              <w:rPr>
                <w:b/>
                <w:color w:val="auto"/>
                <w:sz w:val="22"/>
                <w:highlight w:val="none"/>
              </w:rPr>
            </w:pPr>
          </w:p>
        </w:tc>
      </w:tr>
      <w:tr w14:paraId="5EF1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62" w:type="pct"/>
            <w:vMerge w:val="continue"/>
            <w:vAlign w:val="center"/>
          </w:tcPr>
          <w:p w14:paraId="43A5446B">
            <w:pPr>
              <w:spacing w:line="360" w:lineRule="exact"/>
              <w:jc w:val="center"/>
              <w:rPr>
                <w:b/>
                <w:color w:val="auto"/>
                <w:sz w:val="22"/>
                <w:highlight w:val="none"/>
              </w:rPr>
            </w:pPr>
          </w:p>
        </w:tc>
        <w:tc>
          <w:tcPr>
            <w:tcW w:w="2454" w:type="pct"/>
            <w:gridSpan w:val="2"/>
          </w:tcPr>
          <w:p w14:paraId="6FC445B7">
            <w:pPr>
              <w:spacing w:line="360" w:lineRule="exact"/>
              <w:jc w:val="center"/>
              <w:rPr>
                <w:b/>
                <w:color w:val="auto"/>
                <w:sz w:val="22"/>
                <w:highlight w:val="none"/>
              </w:rPr>
            </w:pPr>
            <w:r>
              <w:rPr>
                <w:b/>
                <w:color w:val="auto"/>
                <w:sz w:val="22"/>
                <w:highlight w:val="none"/>
              </w:rPr>
              <w:t>…………</w:t>
            </w:r>
          </w:p>
        </w:tc>
        <w:tc>
          <w:tcPr>
            <w:tcW w:w="849" w:type="pct"/>
          </w:tcPr>
          <w:p w14:paraId="4735130A">
            <w:pPr>
              <w:spacing w:line="360" w:lineRule="exact"/>
              <w:jc w:val="center"/>
              <w:rPr>
                <w:b/>
                <w:color w:val="auto"/>
                <w:sz w:val="22"/>
                <w:highlight w:val="none"/>
              </w:rPr>
            </w:pPr>
          </w:p>
        </w:tc>
        <w:tc>
          <w:tcPr>
            <w:tcW w:w="685" w:type="pct"/>
          </w:tcPr>
          <w:p w14:paraId="397D3B34">
            <w:pPr>
              <w:spacing w:line="360" w:lineRule="exact"/>
              <w:jc w:val="center"/>
              <w:rPr>
                <w:b/>
                <w:color w:val="auto"/>
                <w:sz w:val="22"/>
                <w:highlight w:val="none"/>
              </w:rPr>
            </w:pPr>
          </w:p>
        </w:tc>
        <w:tc>
          <w:tcPr>
            <w:tcW w:w="648" w:type="pct"/>
          </w:tcPr>
          <w:p w14:paraId="5968BCB4">
            <w:pPr>
              <w:spacing w:line="360" w:lineRule="exact"/>
              <w:jc w:val="center"/>
              <w:rPr>
                <w:b/>
                <w:color w:val="auto"/>
                <w:sz w:val="22"/>
                <w:highlight w:val="none"/>
              </w:rPr>
            </w:pPr>
          </w:p>
        </w:tc>
      </w:tr>
      <w:tr w14:paraId="7E3F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vMerge w:val="restart"/>
            <w:vAlign w:val="center"/>
          </w:tcPr>
          <w:p w14:paraId="27DC1F8E">
            <w:pPr>
              <w:spacing w:line="360" w:lineRule="exact"/>
              <w:jc w:val="center"/>
              <w:rPr>
                <w:b/>
                <w:color w:val="auto"/>
                <w:sz w:val="22"/>
                <w:highlight w:val="none"/>
              </w:rPr>
            </w:pPr>
            <w:r>
              <w:rPr>
                <w:rFonts w:hint="eastAsia"/>
                <w:b/>
                <w:color w:val="auto"/>
                <w:sz w:val="22"/>
                <w:highlight w:val="none"/>
              </w:rPr>
              <w:t>商务</w:t>
            </w:r>
            <w:r>
              <w:rPr>
                <w:b/>
                <w:color w:val="auto"/>
                <w:sz w:val="22"/>
                <w:highlight w:val="none"/>
              </w:rPr>
              <w:t>部分</w:t>
            </w:r>
          </w:p>
        </w:tc>
        <w:tc>
          <w:tcPr>
            <w:tcW w:w="2454" w:type="pct"/>
            <w:gridSpan w:val="2"/>
          </w:tcPr>
          <w:p w14:paraId="07C157FA">
            <w:pPr>
              <w:spacing w:line="360" w:lineRule="exact"/>
              <w:jc w:val="center"/>
              <w:rPr>
                <w:b/>
                <w:color w:val="auto"/>
                <w:sz w:val="22"/>
                <w:highlight w:val="none"/>
              </w:rPr>
            </w:pPr>
            <w:r>
              <w:rPr>
                <w:b/>
                <w:color w:val="auto"/>
                <w:sz w:val="22"/>
                <w:highlight w:val="none"/>
              </w:rPr>
              <w:t>1.…………</w:t>
            </w:r>
          </w:p>
        </w:tc>
        <w:tc>
          <w:tcPr>
            <w:tcW w:w="849" w:type="pct"/>
          </w:tcPr>
          <w:p w14:paraId="09149473">
            <w:pPr>
              <w:spacing w:line="360" w:lineRule="exact"/>
              <w:jc w:val="center"/>
              <w:rPr>
                <w:b/>
                <w:color w:val="auto"/>
                <w:sz w:val="22"/>
                <w:highlight w:val="none"/>
              </w:rPr>
            </w:pPr>
          </w:p>
        </w:tc>
        <w:tc>
          <w:tcPr>
            <w:tcW w:w="685" w:type="pct"/>
          </w:tcPr>
          <w:p w14:paraId="54F24673">
            <w:pPr>
              <w:spacing w:line="360" w:lineRule="exact"/>
              <w:jc w:val="center"/>
              <w:rPr>
                <w:b/>
                <w:color w:val="auto"/>
                <w:sz w:val="22"/>
                <w:highlight w:val="none"/>
              </w:rPr>
            </w:pPr>
          </w:p>
        </w:tc>
        <w:tc>
          <w:tcPr>
            <w:tcW w:w="648" w:type="pct"/>
          </w:tcPr>
          <w:p w14:paraId="47ED98A4">
            <w:pPr>
              <w:spacing w:line="360" w:lineRule="exact"/>
              <w:jc w:val="center"/>
              <w:rPr>
                <w:b/>
                <w:color w:val="auto"/>
                <w:sz w:val="22"/>
                <w:highlight w:val="none"/>
              </w:rPr>
            </w:pPr>
          </w:p>
        </w:tc>
      </w:tr>
      <w:tr w14:paraId="5A23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vMerge w:val="continue"/>
          </w:tcPr>
          <w:p w14:paraId="19B4D244">
            <w:pPr>
              <w:spacing w:line="360" w:lineRule="exact"/>
              <w:jc w:val="center"/>
              <w:rPr>
                <w:b/>
                <w:color w:val="auto"/>
                <w:sz w:val="22"/>
                <w:highlight w:val="none"/>
              </w:rPr>
            </w:pPr>
          </w:p>
        </w:tc>
        <w:tc>
          <w:tcPr>
            <w:tcW w:w="2454" w:type="pct"/>
            <w:gridSpan w:val="2"/>
          </w:tcPr>
          <w:p w14:paraId="7526326A">
            <w:pPr>
              <w:spacing w:line="360" w:lineRule="exact"/>
              <w:jc w:val="center"/>
              <w:rPr>
                <w:b/>
                <w:color w:val="auto"/>
                <w:sz w:val="22"/>
                <w:highlight w:val="none"/>
              </w:rPr>
            </w:pPr>
            <w:r>
              <w:rPr>
                <w:b/>
                <w:color w:val="auto"/>
                <w:sz w:val="22"/>
                <w:highlight w:val="none"/>
              </w:rPr>
              <w:t>2.…………</w:t>
            </w:r>
          </w:p>
        </w:tc>
        <w:tc>
          <w:tcPr>
            <w:tcW w:w="849" w:type="pct"/>
          </w:tcPr>
          <w:p w14:paraId="05B5C355">
            <w:pPr>
              <w:spacing w:line="360" w:lineRule="exact"/>
              <w:jc w:val="center"/>
              <w:rPr>
                <w:b/>
                <w:color w:val="auto"/>
                <w:sz w:val="22"/>
                <w:highlight w:val="none"/>
              </w:rPr>
            </w:pPr>
          </w:p>
        </w:tc>
        <w:tc>
          <w:tcPr>
            <w:tcW w:w="685" w:type="pct"/>
          </w:tcPr>
          <w:p w14:paraId="2425470E">
            <w:pPr>
              <w:spacing w:line="360" w:lineRule="exact"/>
              <w:jc w:val="center"/>
              <w:rPr>
                <w:b/>
                <w:color w:val="auto"/>
                <w:sz w:val="22"/>
                <w:highlight w:val="none"/>
              </w:rPr>
            </w:pPr>
          </w:p>
        </w:tc>
        <w:tc>
          <w:tcPr>
            <w:tcW w:w="648" w:type="pct"/>
          </w:tcPr>
          <w:p w14:paraId="17678575">
            <w:pPr>
              <w:spacing w:line="360" w:lineRule="exact"/>
              <w:jc w:val="center"/>
              <w:rPr>
                <w:b/>
                <w:color w:val="auto"/>
                <w:sz w:val="22"/>
                <w:highlight w:val="none"/>
              </w:rPr>
            </w:pPr>
          </w:p>
        </w:tc>
      </w:tr>
      <w:tr w14:paraId="74AF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62" w:type="pct"/>
            <w:vMerge w:val="continue"/>
          </w:tcPr>
          <w:p w14:paraId="439ED251">
            <w:pPr>
              <w:spacing w:line="360" w:lineRule="exact"/>
              <w:jc w:val="center"/>
              <w:rPr>
                <w:b/>
                <w:color w:val="auto"/>
                <w:sz w:val="22"/>
                <w:highlight w:val="none"/>
              </w:rPr>
            </w:pPr>
          </w:p>
        </w:tc>
        <w:tc>
          <w:tcPr>
            <w:tcW w:w="2454" w:type="pct"/>
            <w:gridSpan w:val="2"/>
          </w:tcPr>
          <w:p w14:paraId="030D467A">
            <w:pPr>
              <w:spacing w:line="360" w:lineRule="exact"/>
              <w:jc w:val="center"/>
              <w:rPr>
                <w:b/>
                <w:color w:val="auto"/>
                <w:sz w:val="22"/>
                <w:highlight w:val="none"/>
              </w:rPr>
            </w:pPr>
            <w:r>
              <w:rPr>
                <w:b/>
                <w:color w:val="auto"/>
                <w:sz w:val="22"/>
                <w:highlight w:val="none"/>
              </w:rPr>
              <w:t>…………</w:t>
            </w:r>
          </w:p>
        </w:tc>
        <w:tc>
          <w:tcPr>
            <w:tcW w:w="849" w:type="pct"/>
          </w:tcPr>
          <w:p w14:paraId="6FC0D4AB">
            <w:pPr>
              <w:spacing w:line="360" w:lineRule="exact"/>
              <w:jc w:val="center"/>
              <w:rPr>
                <w:b/>
                <w:color w:val="auto"/>
                <w:sz w:val="22"/>
                <w:highlight w:val="none"/>
              </w:rPr>
            </w:pPr>
          </w:p>
        </w:tc>
        <w:tc>
          <w:tcPr>
            <w:tcW w:w="685" w:type="pct"/>
          </w:tcPr>
          <w:p w14:paraId="1E6D0622">
            <w:pPr>
              <w:spacing w:line="360" w:lineRule="exact"/>
              <w:jc w:val="center"/>
              <w:rPr>
                <w:b/>
                <w:color w:val="auto"/>
                <w:sz w:val="22"/>
                <w:highlight w:val="none"/>
              </w:rPr>
            </w:pPr>
          </w:p>
        </w:tc>
        <w:tc>
          <w:tcPr>
            <w:tcW w:w="648" w:type="pct"/>
          </w:tcPr>
          <w:p w14:paraId="6B73370B">
            <w:pPr>
              <w:spacing w:line="360" w:lineRule="exact"/>
              <w:jc w:val="center"/>
              <w:rPr>
                <w:b/>
                <w:color w:val="auto"/>
                <w:sz w:val="22"/>
                <w:highlight w:val="none"/>
              </w:rPr>
            </w:pPr>
          </w:p>
        </w:tc>
      </w:tr>
    </w:tbl>
    <w:p w14:paraId="2A334201">
      <w:pPr>
        <w:rPr>
          <w:rFonts w:hint="eastAsia" w:cs="宋体"/>
          <w:b/>
          <w:color w:val="auto"/>
          <w:szCs w:val="21"/>
          <w:highlight w:val="none"/>
        </w:rPr>
      </w:pPr>
      <w:r>
        <w:rPr>
          <w:rFonts w:hint="eastAsia" w:cs="宋体"/>
          <w:b/>
          <w:color w:val="auto"/>
          <w:szCs w:val="21"/>
          <w:highlight w:val="none"/>
        </w:rPr>
        <w:t>注：请投标人按照“关键信息——投标文件初审表、评标信息”的审查和评分内容，自上而下的顺序填写本表。因项目次序混乱而影响评标效率及评标结果者，投标人自负其责。</w:t>
      </w:r>
    </w:p>
    <w:p w14:paraId="550A3533">
      <w:pPr>
        <w:spacing w:line="360" w:lineRule="auto"/>
        <w:rPr>
          <w:color w:val="auto"/>
          <w:sz w:val="22"/>
          <w:highlight w:val="none"/>
        </w:rPr>
      </w:pPr>
    </w:p>
    <w:p w14:paraId="3155A771">
      <w:pPr>
        <w:numPr>
          <w:ilvl w:val="0"/>
          <w:numId w:val="0"/>
        </w:numPr>
        <w:tabs>
          <w:tab w:val="left" w:pos="0"/>
        </w:tabs>
        <w:ind w:left="0" w:leftChars="0" w:firstLine="397" w:firstLineChars="0"/>
        <w:jc w:val="center"/>
        <w:outlineLvl w:val="2"/>
        <w:rPr>
          <w:rFonts w:hint="eastAsia" w:ascii="宋体" w:hAnsi="宋体" w:cs="宋体"/>
          <w:b/>
          <w:color w:val="auto"/>
          <w:sz w:val="32"/>
          <w:szCs w:val="32"/>
          <w:highlight w:val="none"/>
        </w:rPr>
      </w:pPr>
      <w:r>
        <w:rPr>
          <w:rFonts w:hint="eastAsia" w:ascii="宋体" w:hAnsi="宋体" w:eastAsia="宋体" w:cs="宋体"/>
          <w:b/>
          <w:color w:val="auto"/>
          <w:kern w:val="2"/>
          <w:sz w:val="32"/>
          <w:szCs w:val="32"/>
          <w:highlight w:val="none"/>
          <w:lang w:val="en-US" w:eastAsia="zh-CN" w:bidi="ar-SA"/>
        </w:rPr>
        <w:t>二、</w:t>
      </w:r>
      <w:r>
        <w:rPr>
          <w:rFonts w:hint="eastAsia" w:ascii="宋体" w:hAnsi="宋体" w:cs="宋体"/>
          <w:b/>
          <w:color w:val="auto"/>
          <w:sz w:val="32"/>
          <w:szCs w:val="32"/>
          <w:highlight w:val="none"/>
        </w:rPr>
        <w:t>投标函</w:t>
      </w:r>
    </w:p>
    <w:p w14:paraId="47D2EB40">
      <w:pPr>
        <w:spacing w:line="360" w:lineRule="exact"/>
        <w:rPr>
          <w:rFonts w:hint="eastAsia" w:ascii="宋体" w:hAnsi="宋体" w:cs="宋体"/>
          <w:color w:val="auto"/>
          <w:sz w:val="22"/>
          <w:highlight w:val="none"/>
        </w:rPr>
      </w:pPr>
      <w:r>
        <w:rPr>
          <w:rFonts w:hint="eastAsia" w:ascii="宋体" w:hAnsi="宋体" w:cs="宋体"/>
          <w:color w:val="auto"/>
          <w:sz w:val="22"/>
          <w:highlight w:val="none"/>
        </w:rPr>
        <w:t>致：</w:t>
      </w:r>
      <w:r>
        <w:rPr>
          <w:rFonts w:hint="eastAsia" w:ascii="宋体" w:hAnsi="宋体" w:cs="宋体"/>
          <w:color w:val="auto"/>
          <w:kern w:val="0"/>
          <w:sz w:val="22"/>
          <w:highlight w:val="none"/>
        </w:rPr>
        <w:t>深圳市东海国际招标有限公司</w:t>
      </w:r>
    </w:p>
    <w:p w14:paraId="32CBC520">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根据贵方</w:t>
      </w:r>
      <w:r>
        <w:rPr>
          <w:rFonts w:hint="eastAsia" w:ascii="宋体" w:hAnsi="宋体" w:cs="宋体"/>
          <w:color w:val="auto"/>
          <w:sz w:val="22"/>
          <w:highlight w:val="none"/>
          <w:u w:val="single"/>
        </w:rPr>
        <w:t xml:space="preserve">                     （项目名称）</w:t>
      </w:r>
      <w:r>
        <w:rPr>
          <w:rFonts w:hint="eastAsia" w:ascii="宋体" w:hAnsi="宋体" w:cs="宋体"/>
          <w:color w:val="auto"/>
          <w:sz w:val="22"/>
          <w:highlight w:val="none"/>
        </w:rPr>
        <w:t>的招标公告</w:t>
      </w:r>
      <w:r>
        <w:rPr>
          <w:rFonts w:hint="eastAsia" w:ascii="宋体" w:hAnsi="宋体" w:cs="宋体"/>
          <w:color w:val="auto"/>
          <w:sz w:val="22"/>
          <w:highlight w:val="none"/>
          <w:u w:val="single"/>
        </w:rPr>
        <w:t>（项目编号为      ）</w:t>
      </w:r>
      <w:r>
        <w:rPr>
          <w:rFonts w:hint="eastAsia" w:ascii="宋体" w:hAnsi="宋体" w:cs="宋体"/>
          <w:color w:val="auto"/>
          <w:sz w:val="22"/>
          <w:highlight w:val="none"/>
        </w:rPr>
        <w:t>，本人经我方法定代表人授权正式代表投标人</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（投标人的名称），提交唱标信封1份及投标文件正本1份，副本5份，投标文件电子版1份（盖章扫描件）。</w:t>
      </w:r>
    </w:p>
    <w:p w14:paraId="6EB400E0">
      <w:pPr>
        <w:spacing w:line="360" w:lineRule="exact"/>
        <w:rPr>
          <w:rFonts w:hint="eastAsia" w:ascii="宋体" w:hAnsi="宋体" w:cs="宋体"/>
          <w:color w:val="auto"/>
          <w:sz w:val="22"/>
          <w:highlight w:val="none"/>
        </w:rPr>
      </w:pPr>
      <w:r>
        <w:rPr>
          <w:rFonts w:hint="eastAsia" w:ascii="宋体" w:hAnsi="宋体" w:cs="宋体"/>
          <w:color w:val="auto"/>
          <w:sz w:val="22"/>
          <w:highlight w:val="none"/>
        </w:rPr>
        <w:t xml:space="preserve">    据此函，本人代表投标方保证，所提供的全部资料是真实的。本人承诺：</w:t>
      </w:r>
    </w:p>
    <w:p w14:paraId="3CD7349A">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（1）我方愿以开标一览表中的投标报价并按采购文件要求承包上述项目并修补其任何缺陷；</w:t>
      </w:r>
    </w:p>
    <w:p w14:paraId="4833D0DF">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（2）我方承担根据采购文件的规定，完成合同的责任和义务。</w:t>
      </w:r>
    </w:p>
    <w:p w14:paraId="0393C762">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（3）我方已详细阅读了全部采购文件，包括采购文件修改书（如果有的话），参考资料及有关附件，我们完全理解并同意放弃对这方面有不清楚或误解的问题和质疑投诉的权利。</w:t>
      </w:r>
    </w:p>
    <w:p w14:paraId="640AE49F">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（4）我方同意所递交的投标文件在“关键信息-投标须知前附表”规定的投标有效期内有效，在此期间内我方的投标有可能中标，我方将受此约束。如果在投标有效期内撤回其投标，其投标保证金将全部被没收。</w:t>
      </w:r>
    </w:p>
    <w:p w14:paraId="45D97AF7">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（5）除非另外达成协议并生效，贵方的中标通知书和本投标文件将构成约束我们双方的合同。</w:t>
      </w:r>
    </w:p>
    <w:p w14:paraId="3B05CE5F">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（6）同意向贵方提供贵方可能要求的与本投标有关的任何证据或资料。</w:t>
      </w:r>
    </w:p>
    <w:p w14:paraId="4AF0D6A5">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（7）我方完全理解贵方不一定要接受最低报价的投标或收到的任何投标。</w:t>
      </w:r>
    </w:p>
    <w:p w14:paraId="030FC854">
      <w:pPr>
        <w:spacing w:line="360" w:lineRule="exact"/>
        <w:ind w:firstLine="440" w:firstLineChars="200"/>
        <w:rPr>
          <w:rFonts w:hint="eastAsia" w:ascii="宋体" w:hAnsi="宋体" w:cs="宋体"/>
          <w:color w:val="auto"/>
          <w:sz w:val="22"/>
          <w:highlight w:val="none"/>
        </w:rPr>
      </w:pPr>
    </w:p>
    <w:p w14:paraId="1D67D718">
      <w:pPr>
        <w:spacing w:line="360" w:lineRule="exact"/>
        <w:ind w:firstLine="440" w:firstLineChars="200"/>
        <w:rPr>
          <w:rFonts w:hint="eastAsia" w:ascii="宋体" w:hAnsi="宋体" w:cs="宋体"/>
          <w:color w:val="auto"/>
          <w:sz w:val="22"/>
          <w:highlight w:val="none"/>
        </w:rPr>
      </w:pPr>
    </w:p>
    <w:p w14:paraId="7B977494">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与本投标有关的正式通信方式：</w:t>
      </w:r>
    </w:p>
    <w:p w14:paraId="14F25205">
      <w:pPr>
        <w:spacing w:line="360" w:lineRule="exact"/>
        <w:ind w:firstLine="440" w:firstLineChars="200"/>
        <w:rPr>
          <w:rFonts w:hint="eastAsia" w:ascii="宋体" w:hAnsi="宋体" w:cs="宋体"/>
          <w:color w:val="auto"/>
          <w:sz w:val="22"/>
          <w:highlight w:val="none"/>
          <w:u w:val="single"/>
        </w:rPr>
      </w:pPr>
      <w:r>
        <w:rPr>
          <w:rFonts w:hint="eastAsia" w:ascii="宋体" w:hAnsi="宋体" w:cs="宋体"/>
          <w:color w:val="auto"/>
          <w:sz w:val="22"/>
          <w:highlight w:val="none"/>
        </w:rPr>
        <w:t>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 xml:space="preserve"> 邮政编码：</w:t>
      </w:r>
      <w:r>
        <w:rPr>
          <w:rFonts w:hint="eastAsia" w:ascii="宋体" w:hAnsi="宋体" w:cs="宋体"/>
          <w:color w:val="auto"/>
          <w:sz w:val="22"/>
          <w:highlight w:val="none"/>
          <w:u w:val="single"/>
        </w:rPr>
        <w:t xml:space="preserve">         </w:t>
      </w:r>
    </w:p>
    <w:p w14:paraId="7E8E2A31">
      <w:pPr>
        <w:spacing w:line="360" w:lineRule="exact"/>
        <w:ind w:firstLine="440" w:firstLineChars="200"/>
        <w:rPr>
          <w:rFonts w:hint="eastAsia" w:ascii="宋体" w:hAnsi="宋体" w:cs="宋体"/>
          <w:color w:val="auto"/>
          <w:sz w:val="22"/>
          <w:highlight w:val="none"/>
          <w:u w:val="single"/>
        </w:rPr>
      </w:pPr>
      <w:r>
        <w:rPr>
          <w:rFonts w:hint="eastAsia" w:ascii="宋体" w:hAnsi="宋体" w:cs="宋体"/>
          <w:color w:val="auto"/>
          <w:sz w:val="22"/>
          <w:highlight w:val="none"/>
        </w:rPr>
        <w:t>电话、手机、传真或电传：</w:t>
      </w:r>
      <w:r>
        <w:rPr>
          <w:rFonts w:hint="eastAsia" w:ascii="宋体" w:hAnsi="宋体" w:cs="宋体"/>
          <w:color w:val="auto"/>
          <w:sz w:val="22"/>
          <w:highlight w:val="none"/>
          <w:u w:val="single"/>
        </w:rPr>
        <w:t xml:space="preserve">                                            </w:t>
      </w:r>
    </w:p>
    <w:p w14:paraId="12B36EDB">
      <w:pPr>
        <w:spacing w:line="360" w:lineRule="exact"/>
        <w:ind w:firstLine="440" w:firstLineChars="200"/>
        <w:rPr>
          <w:rFonts w:hint="eastAsia" w:ascii="宋体" w:hAnsi="宋体" w:cs="宋体"/>
          <w:color w:val="auto"/>
          <w:sz w:val="22"/>
          <w:highlight w:val="none"/>
          <w:u w:val="single"/>
        </w:rPr>
      </w:pPr>
      <w:r>
        <w:rPr>
          <w:rFonts w:hint="eastAsia" w:ascii="宋体" w:hAnsi="宋体" w:cs="宋体"/>
          <w:color w:val="auto"/>
          <w:sz w:val="22"/>
          <w:highlight w:val="none"/>
        </w:rPr>
        <w:t>开户银行名称：</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 xml:space="preserve"> 开户银行账号：</w:t>
      </w:r>
      <w:r>
        <w:rPr>
          <w:rFonts w:hint="eastAsia" w:ascii="宋体" w:hAnsi="宋体" w:cs="宋体"/>
          <w:color w:val="auto"/>
          <w:sz w:val="22"/>
          <w:highlight w:val="none"/>
          <w:u w:val="single"/>
        </w:rPr>
        <w:t xml:space="preserve">               </w:t>
      </w:r>
    </w:p>
    <w:p w14:paraId="049B30C2">
      <w:pPr>
        <w:spacing w:line="360" w:lineRule="exact"/>
        <w:ind w:firstLine="440" w:firstLineChars="200"/>
        <w:rPr>
          <w:rFonts w:hint="eastAsia" w:ascii="宋体" w:hAnsi="宋体" w:cs="宋体"/>
          <w:color w:val="auto"/>
          <w:sz w:val="22"/>
          <w:highlight w:val="none"/>
          <w:u w:val="single"/>
        </w:rPr>
      </w:pPr>
      <w:r>
        <w:rPr>
          <w:rFonts w:hint="eastAsia" w:ascii="宋体" w:hAnsi="宋体" w:cs="宋体"/>
          <w:color w:val="auto"/>
          <w:sz w:val="22"/>
          <w:highlight w:val="none"/>
        </w:rPr>
        <w:t>开户银行地址：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 xml:space="preserve"> 开户银行电话：</w:t>
      </w:r>
      <w:r>
        <w:rPr>
          <w:rFonts w:hint="eastAsia" w:ascii="宋体" w:hAnsi="宋体" w:cs="宋体"/>
          <w:color w:val="auto"/>
          <w:sz w:val="22"/>
          <w:highlight w:val="none"/>
          <w:u w:val="single"/>
        </w:rPr>
        <w:t xml:space="preserve">               </w:t>
      </w:r>
    </w:p>
    <w:p w14:paraId="0C3AA28F">
      <w:pPr>
        <w:spacing w:line="360" w:lineRule="exact"/>
        <w:ind w:firstLine="440" w:firstLineChars="200"/>
        <w:rPr>
          <w:rFonts w:hint="eastAsia" w:ascii="宋体" w:hAnsi="宋体" w:cs="宋体"/>
          <w:color w:val="auto"/>
          <w:sz w:val="22"/>
          <w:highlight w:val="none"/>
          <w:u w:val="single"/>
        </w:rPr>
      </w:pPr>
      <w:r>
        <w:rPr>
          <w:rFonts w:hint="eastAsia" w:ascii="宋体" w:hAnsi="宋体" w:cs="宋体"/>
          <w:color w:val="auto"/>
          <w:sz w:val="22"/>
          <w:highlight w:val="none"/>
        </w:rPr>
        <w:t>投标人代表姓名（签字）：</w:t>
      </w:r>
      <w:r>
        <w:rPr>
          <w:rFonts w:hint="eastAsia" w:ascii="宋体" w:hAnsi="宋体" w:cs="宋体"/>
          <w:color w:val="auto"/>
          <w:sz w:val="22"/>
          <w:highlight w:val="none"/>
          <w:u w:val="single"/>
        </w:rPr>
        <w:t xml:space="preserve">                                              </w:t>
      </w:r>
    </w:p>
    <w:p w14:paraId="4153A83B">
      <w:pPr>
        <w:spacing w:line="360" w:lineRule="exact"/>
        <w:ind w:firstLine="5317" w:firstLineChars="2417"/>
        <w:rPr>
          <w:rFonts w:hint="eastAsia" w:ascii="宋体" w:hAnsi="宋体" w:cs="宋体"/>
          <w:color w:val="auto"/>
          <w:sz w:val="22"/>
          <w:highlight w:val="none"/>
        </w:rPr>
      </w:pPr>
    </w:p>
    <w:p w14:paraId="16ED0BE1">
      <w:pPr>
        <w:spacing w:line="360" w:lineRule="auto"/>
        <w:rPr>
          <w:color w:val="auto"/>
          <w:sz w:val="22"/>
          <w:highlight w:val="none"/>
        </w:rPr>
      </w:pPr>
      <w:r>
        <w:rPr>
          <w:rFonts w:hint="eastAsia" w:ascii="宋体" w:hAnsi="宋体"/>
          <w:color w:val="auto"/>
          <w:sz w:val="22"/>
          <w:highlight w:val="none"/>
          <w:lang w:val="zh-CN"/>
        </w:rPr>
        <w:t>法定代表人（</w:t>
      </w:r>
      <w:r>
        <w:rPr>
          <w:rFonts w:hint="eastAsia" w:ascii="宋体" w:hAnsi="宋体"/>
          <w:color w:val="auto"/>
          <w:sz w:val="22"/>
          <w:highlight w:val="none"/>
        </w:rPr>
        <w:t>单位负责人</w:t>
      </w:r>
      <w:r>
        <w:rPr>
          <w:rFonts w:hint="eastAsia" w:ascii="宋体" w:hAnsi="宋体"/>
          <w:color w:val="auto"/>
          <w:sz w:val="22"/>
          <w:highlight w:val="none"/>
          <w:lang w:val="zh-CN"/>
        </w:rPr>
        <w:t>）或其授权代表（签字</w:t>
      </w:r>
      <w:r>
        <w:rPr>
          <w:rFonts w:hint="eastAsia" w:ascii="宋体" w:hAnsi="宋体"/>
          <w:color w:val="auto"/>
          <w:sz w:val="22"/>
          <w:highlight w:val="none"/>
        </w:rPr>
        <w:t>或盖章</w:t>
      </w:r>
      <w:r>
        <w:rPr>
          <w:rFonts w:hint="eastAsia" w:ascii="宋体" w:hAnsi="宋体"/>
          <w:color w:val="auto"/>
          <w:sz w:val="22"/>
          <w:highlight w:val="none"/>
          <w:lang w:val="zh-CN"/>
        </w:rPr>
        <w:t>）</w:t>
      </w:r>
      <w:r>
        <w:rPr>
          <w:rFonts w:hint="eastAsia"/>
          <w:color w:val="auto"/>
          <w:sz w:val="22"/>
          <w:highlight w:val="none"/>
        </w:rPr>
        <w:t xml:space="preserve">：                   </w:t>
      </w:r>
    </w:p>
    <w:p w14:paraId="4440F68F">
      <w:pPr>
        <w:spacing w:line="360" w:lineRule="auto"/>
        <w:rPr>
          <w:color w:val="auto"/>
          <w:sz w:val="22"/>
          <w:highlight w:val="none"/>
        </w:rPr>
      </w:pPr>
      <w:r>
        <w:rPr>
          <w:rFonts w:hint="eastAsia"/>
          <w:color w:val="auto"/>
          <w:sz w:val="22"/>
          <w:highlight w:val="none"/>
        </w:rPr>
        <w:t xml:space="preserve">投标人名称（盖章）：                        </w:t>
      </w:r>
    </w:p>
    <w:p w14:paraId="370BB60B">
      <w:pPr>
        <w:spacing w:line="360" w:lineRule="auto"/>
        <w:rPr>
          <w:color w:val="auto"/>
          <w:sz w:val="22"/>
          <w:highlight w:val="none"/>
        </w:rPr>
      </w:pPr>
      <w:r>
        <w:rPr>
          <w:rFonts w:hint="eastAsia"/>
          <w:color w:val="auto"/>
          <w:sz w:val="22"/>
          <w:highlight w:val="none"/>
        </w:rPr>
        <w:t>日期：   年   月   日</w:t>
      </w:r>
    </w:p>
    <w:p w14:paraId="3A003858">
      <w:pPr>
        <w:rPr>
          <w:b/>
          <w:color w:val="auto"/>
          <w:sz w:val="24"/>
          <w:highlight w:val="none"/>
        </w:rPr>
      </w:pPr>
    </w:p>
    <w:p w14:paraId="70D3CDEE">
      <w:pPr>
        <w:jc w:val="center"/>
        <w:rPr>
          <w:b/>
          <w:bCs/>
          <w:color w:val="auto"/>
          <w:sz w:val="32"/>
          <w:szCs w:val="32"/>
          <w:highlight w:val="none"/>
        </w:rPr>
      </w:pPr>
    </w:p>
    <w:p w14:paraId="66445A18">
      <w:pPr>
        <w:jc w:val="center"/>
        <w:rPr>
          <w:b/>
          <w:bCs/>
          <w:color w:val="auto"/>
          <w:sz w:val="32"/>
          <w:szCs w:val="32"/>
          <w:highlight w:val="none"/>
        </w:rPr>
      </w:pPr>
    </w:p>
    <w:p w14:paraId="4082C4C9">
      <w:pPr>
        <w:spacing w:line="360" w:lineRule="auto"/>
        <w:jc w:val="center"/>
        <w:rPr>
          <w:b/>
          <w:bCs/>
          <w:color w:val="auto"/>
          <w:sz w:val="32"/>
          <w:szCs w:val="32"/>
          <w:highlight w:val="none"/>
        </w:rPr>
      </w:pPr>
    </w:p>
    <w:p w14:paraId="08A3B2C5">
      <w:pPr>
        <w:numPr>
          <w:ilvl w:val="0"/>
          <w:numId w:val="0"/>
        </w:numPr>
        <w:tabs>
          <w:tab w:val="left" w:pos="0"/>
        </w:tabs>
        <w:ind w:left="0" w:leftChars="0" w:firstLine="397" w:firstLineChars="0"/>
        <w:jc w:val="center"/>
        <w:outlineLvl w:val="2"/>
        <w:rPr>
          <w:rFonts w:ascii="宋体" w:hAnsi="宋体" w:cs="宋体"/>
          <w:b/>
          <w:bCs/>
          <w:color w:val="auto"/>
          <w:sz w:val="32"/>
          <w:szCs w:val="24"/>
          <w:highlight w:val="none"/>
        </w:rPr>
      </w:pPr>
      <w:r>
        <w:rPr>
          <w:rFonts w:hint="eastAsia" w:ascii="宋体" w:hAnsi="宋体" w:eastAsia="宋体" w:cs="宋体"/>
          <w:b/>
          <w:bCs/>
          <w:color w:val="auto"/>
          <w:kern w:val="2"/>
          <w:sz w:val="32"/>
          <w:szCs w:val="32"/>
          <w:highlight w:val="none"/>
          <w:lang w:val="en-US" w:eastAsia="zh-CN" w:bidi="ar-SA"/>
        </w:rPr>
        <w:t>三、</w:t>
      </w:r>
      <w:r>
        <w:rPr>
          <w:rFonts w:hint="eastAsia" w:ascii="宋体" w:hAnsi="宋体" w:cs="宋体"/>
          <w:b/>
          <w:bCs/>
          <w:color w:val="auto"/>
          <w:sz w:val="32"/>
          <w:szCs w:val="24"/>
          <w:highlight w:val="none"/>
        </w:rPr>
        <w:t>政府采购投标及履约承诺函</w:t>
      </w:r>
    </w:p>
    <w:p w14:paraId="41E1822C">
      <w:pPr>
        <w:tabs>
          <w:tab w:val="left" w:pos="567"/>
        </w:tabs>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致：深圳市东海国际招标有限公司</w:t>
      </w:r>
    </w:p>
    <w:p w14:paraId="42A935EC">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我公司承诺：</w:t>
      </w:r>
    </w:p>
    <w:p w14:paraId="7DE39BF2">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1.我公司本招标项目所提供的货物或服务未侵犯知识产权。</w:t>
      </w:r>
    </w:p>
    <w:p w14:paraId="75E90E5C">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2.我公司参与本项目投标前三年内，在经营活动中没有重大违法记录。</w:t>
      </w:r>
    </w:p>
    <w:p w14:paraId="60267CC0">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3.我公司参与本项目政府采购活动时不存在被有关部门禁止参与政府采购活动且在有效期内的情况。</w:t>
      </w:r>
    </w:p>
    <w:p w14:paraId="43F43003">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4.我公司具备《中华人民共和国政府采购法》第二十二条第一款规定的六项条件。</w:t>
      </w:r>
    </w:p>
    <w:p w14:paraId="6EE6DB84">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5.我公司未被列入失信被执行人、重大税收违法案件当事人名单、政府采购严重违法失信行为记录名单。</w:t>
      </w:r>
    </w:p>
    <w:p w14:paraId="3DFCE55F">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6.我公司不存在单位负责人为同一人或者存在直接控股、管理关系的不同供应商，同时参加本项目的投标。</w:t>
      </w:r>
    </w:p>
    <w:p w14:paraId="0182F7C7">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7.我公司不存在</w:t>
      </w:r>
      <w:r>
        <w:rPr>
          <w:rFonts w:hint="eastAsia" w:ascii="宋体" w:hAnsi="宋体" w:eastAsia="宋体" w:cs="宋体"/>
          <w:color w:val="auto"/>
          <w:sz w:val="22"/>
          <w:highlight w:val="none"/>
          <w:lang w:val="zh-CN"/>
        </w:rPr>
        <w:t>对本次采购项目提供整体设计、规范编制或者项目管理、监理、检测等服务。</w:t>
      </w:r>
    </w:p>
    <w:p w14:paraId="79E78D74">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8.我公司参与该项目投标，严格遵循公平竞争的原则，不恶意串通，不妨碍其他投标人的竞争行为，不损害采购人或者其他投标人的合法权益。我公司已清楚，如违反上述要求，将作投标无效处理。</w:t>
      </w:r>
    </w:p>
    <w:p w14:paraId="6274AB32">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9.我公司如果中标，做到守信，不偷工减料，依照本项目招标文件需求内容、签署的采购合同及本公司在投标中所作的一切承诺履约。</w:t>
      </w:r>
    </w:p>
    <w:p w14:paraId="28D432E1">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10.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22B7EDC5">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11.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D735607">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12.我公司承诺不非法转包、分包。</w:t>
      </w:r>
    </w:p>
    <w:p w14:paraId="65C3082C">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13.我公司承诺所投标（响应）的货物、工程或服务，不存在侵犯知识产权的情况；已知悉并同意中标（成交）结果信息公示（公开）的内容。</w:t>
      </w:r>
    </w:p>
    <w:p w14:paraId="45E94592">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14.我公司保证，若所投货物涉及《财政部生态环境部关于印发节能产品政府采购品目清单的通知》（财库〔2019〕19号）列明的政府采购强制产品，则所投该产品符合节能产品的认证要求。</w:t>
      </w:r>
    </w:p>
    <w:p w14:paraId="07DA6394">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15.我公司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4DA084EA">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highlight w:val="none"/>
          <w:lang w:val="en-US" w:eastAsia="zh-CN"/>
        </w:rPr>
        <w:t>16.</w:t>
      </w:r>
      <w:r>
        <w:rPr>
          <w:rFonts w:hint="eastAsia" w:ascii="宋体" w:hAnsi="宋体" w:eastAsia="宋体" w:cs="宋体"/>
          <w:color w:val="auto"/>
          <w:sz w:val="22"/>
          <w:szCs w:val="22"/>
          <w:highlight w:val="none"/>
          <w:lang w:val="en-US" w:eastAsia="zh-CN"/>
        </w:rPr>
        <w:t>我单位</w:t>
      </w:r>
      <w:r>
        <w:rPr>
          <w:rFonts w:hint="eastAsia" w:ascii="宋体" w:hAnsi="宋体" w:eastAsia="宋体" w:cs="宋体"/>
          <w:color w:val="auto"/>
          <w:sz w:val="22"/>
          <w:szCs w:val="22"/>
          <w:highlight w:val="none"/>
        </w:rPr>
        <w:t>符合财政部和深圳市财政局关于诚信管理的要求，至投标截止时间，我单位未有在“信用中国”网（www.creditchina.gov.cn）、中国政府采购网（www.ccgp.gov.cn）、深圳市政府采购监督管理网（www.zfcg.sz.gov.cn）和“国家企业信用信息公示系统（www.gsxt.gov.cn）4个官网中列入“失信被执行人、重大税收违法案件当事人名单、政府采购严重违法失信行为记录名单”</w:t>
      </w:r>
      <w:r>
        <w:rPr>
          <w:rFonts w:hint="eastAsia" w:ascii="宋体" w:hAnsi="宋体" w:eastAsia="宋体" w:cs="宋体"/>
          <w:color w:val="auto"/>
          <w:sz w:val="22"/>
          <w:szCs w:val="22"/>
          <w:highlight w:val="none"/>
          <w:lang w:eastAsia="zh-CN"/>
        </w:rPr>
        <w:t>。</w:t>
      </w:r>
    </w:p>
    <w:p w14:paraId="185A9161">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17.</w:t>
      </w:r>
      <w:r>
        <w:rPr>
          <w:rFonts w:hint="eastAsia" w:ascii="宋体" w:hAnsi="宋体" w:eastAsia="宋体" w:cs="宋体"/>
          <w:color w:val="auto"/>
          <w:sz w:val="22"/>
          <w:szCs w:val="22"/>
          <w:highlight w:val="none"/>
        </w:rPr>
        <w:t>我单位保证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不存在《深圳市财政局政府采购供应商信用信息管理办法》（深财规（2023）3号）列明的严重违法失信行为。</w:t>
      </w:r>
    </w:p>
    <w:p w14:paraId="04D7F36B">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18.</w:t>
      </w:r>
      <w:r>
        <w:rPr>
          <w:rFonts w:hint="eastAsia" w:ascii="宋体" w:hAnsi="宋体" w:eastAsia="宋体" w:cs="宋体"/>
          <w:color w:val="auto"/>
          <w:sz w:val="22"/>
          <w:szCs w:val="22"/>
          <w:highlight w:val="none"/>
        </w:rPr>
        <w:t>我单位清楚，如存在违反投标承诺行为情节严重的，将根据《深圳市财政局关于印发&lt;深圳市财政局政府采购供应商信用信息管理办法&gt;的通知》，依法被列入失信信息。</w:t>
      </w:r>
    </w:p>
    <w:p w14:paraId="5A991416">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p>
    <w:p w14:paraId="0158ADA8">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以上承诺，如有违反，愿依照国家相关法律处理，并承担由此给采购人带来的损失。</w:t>
      </w:r>
    </w:p>
    <w:p w14:paraId="166E2DAB">
      <w:pPr>
        <w:tabs>
          <w:tab w:val="left" w:pos="567"/>
        </w:tabs>
        <w:spacing w:line="360" w:lineRule="auto"/>
        <w:ind w:left="420"/>
        <w:jc w:val="left"/>
        <w:rPr>
          <w:rFonts w:hint="eastAsia" w:ascii="宋体" w:hAnsi="宋体" w:cs="宋体"/>
          <w:color w:val="auto"/>
          <w:sz w:val="22"/>
          <w:highlight w:val="none"/>
        </w:rPr>
      </w:pPr>
    </w:p>
    <w:p w14:paraId="7CB3298D">
      <w:pPr>
        <w:tabs>
          <w:tab w:val="left" w:pos="567"/>
        </w:tabs>
        <w:spacing w:line="360" w:lineRule="auto"/>
        <w:ind w:left="420"/>
        <w:jc w:val="left"/>
        <w:rPr>
          <w:rFonts w:hint="eastAsia" w:ascii="宋体" w:hAnsi="宋体" w:cs="宋体"/>
          <w:color w:val="auto"/>
          <w:sz w:val="22"/>
          <w:highlight w:val="none"/>
        </w:rPr>
      </w:pPr>
      <w:r>
        <w:rPr>
          <w:rFonts w:hint="eastAsia" w:ascii="宋体" w:hAnsi="宋体" w:cs="宋体"/>
          <w:color w:val="auto"/>
          <w:sz w:val="22"/>
          <w:highlight w:val="none"/>
        </w:rPr>
        <w:t>投标人名称（盖章）：</w:t>
      </w:r>
    </w:p>
    <w:p w14:paraId="461A2848">
      <w:pPr>
        <w:tabs>
          <w:tab w:val="left" w:pos="567"/>
        </w:tabs>
        <w:spacing w:line="360" w:lineRule="auto"/>
        <w:ind w:left="420"/>
        <w:jc w:val="left"/>
        <w:rPr>
          <w:rFonts w:hint="eastAsia" w:ascii="宋体" w:hAnsi="宋体" w:cs="宋体"/>
          <w:color w:val="auto"/>
          <w:sz w:val="22"/>
          <w:highlight w:val="none"/>
        </w:rPr>
      </w:pPr>
      <w:r>
        <w:rPr>
          <w:rFonts w:hint="eastAsia" w:ascii="宋体" w:hAnsi="宋体" w:cs="宋体"/>
          <w:color w:val="auto"/>
          <w:sz w:val="22"/>
          <w:highlight w:val="none"/>
        </w:rPr>
        <w:t>日期：年 月 日</w:t>
      </w:r>
    </w:p>
    <w:p w14:paraId="0C7F87F1">
      <w:pPr>
        <w:widowControl/>
        <w:snapToGrid w:val="0"/>
        <w:spacing w:line="360" w:lineRule="exact"/>
        <w:ind w:firstLine="440" w:firstLineChars="200"/>
        <w:jc w:val="right"/>
        <w:rPr>
          <w:rFonts w:ascii="宋体" w:hAnsi="宋体" w:cs="宋体"/>
          <w:color w:val="auto"/>
          <w:sz w:val="24"/>
          <w:szCs w:val="24"/>
          <w:highlight w:val="none"/>
        </w:rPr>
      </w:pPr>
      <w:r>
        <w:rPr>
          <w:rFonts w:hint="eastAsia" w:ascii="宋体" w:hAnsi="宋体" w:cs="宋体"/>
          <w:color w:val="auto"/>
          <w:kern w:val="0"/>
          <w:sz w:val="22"/>
          <w:szCs w:val="24"/>
          <w:highlight w:val="none"/>
        </w:rPr>
        <w:br w:type="page"/>
      </w:r>
      <w:r>
        <w:rPr>
          <w:rFonts w:hint="eastAsia" w:ascii="宋体" w:hAnsi="宋体" w:cs="宋体"/>
          <w:color w:val="auto"/>
          <w:kern w:val="0"/>
          <w:sz w:val="22"/>
          <w:szCs w:val="24"/>
          <w:highlight w:val="none"/>
        </w:rPr>
        <w:t xml:space="preserve"> </w:t>
      </w:r>
      <w:r>
        <w:rPr>
          <w:rFonts w:hint="eastAsia" w:ascii="宋体" w:hAnsi="宋体" w:cs="宋体"/>
          <w:color w:val="auto"/>
          <w:kern w:val="0"/>
          <w:sz w:val="24"/>
          <w:szCs w:val="24"/>
          <w:highlight w:val="none"/>
        </w:rPr>
        <w:t xml:space="preserve">        </w:t>
      </w:r>
    </w:p>
    <w:p w14:paraId="4B114898">
      <w:pPr>
        <w:numPr>
          <w:ilvl w:val="0"/>
          <w:numId w:val="0"/>
        </w:numPr>
        <w:tabs>
          <w:tab w:val="left" w:pos="0"/>
        </w:tabs>
        <w:ind w:left="0" w:leftChars="0" w:firstLine="397" w:firstLineChars="0"/>
        <w:jc w:val="center"/>
        <w:outlineLvl w:val="2"/>
        <w:rPr>
          <w:b/>
          <w:bCs/>
          <w:color w:val="auto"/>
          <w:sz w:val="32"/>
          <w:szCs w:val="32"/>
          <w:highlight w:val="none"/>
        </w:rPr>
      </w:pPr>
      <w:r>
        <w:rPr>
          <w:rFonts w:hint="eastAsia" w:ascii="宋体" w:hAnsi="宋体" w:eastAsia="宋体" w:cs="宋体"/>
          <w:b/>
          <w:bCs/>
          <w:color w:val="auto"/>
          <w:kern w:val="2"/>
          <w:sz w:val="32"/>
          <w:szCs w:val="32"/>
          <w:highlight w:val="none"/>
          <w:lang w:val="en-US" w:eastAsia="zh-CN" w:bidi="ar-SA"/>
        </w:rPr>
        <w:t>四、</w:t>
      </w:r>
      <w:r>
        <w:rPr>
          <w:rFonts w:hint="eastAsia"/>
          <w:b/>
          <w:bCs/>
          <w:color w:val="auto"/>
          <w:sz w:val="32"/>
          <w:szCs w:val="32"/>
          <w:highlight w:val="none"/>
        </w:rPr>
        <w:t>诚信承诺函</w:t>
      </w:r>
    </w:p>
    <w:p w14:paraId="47D97AAB">
      <w:pPr>
        <w:spacing w:line="360" w:lineRule="auto"/>
        <w:rPr>
          <w:rFonts w:ascii="宋体" w:hAnsi="宋体" w:cs="宋体"/>
          <w:color w:val="auto"/>
          <w:sz w:val="22"/>
          <w:highlight w:val="none"/>
        </w:rPr>
      </w:pPr>
    </w:p>
    <w:p w14:paraId="081ECD70">
      <w:pPr>
        <w:spacing w:line="360" w:lineRule="auto"/>
        <w:rPr>
          <w:rFonts w:ascii="宋体" w:hAnsi="宋体" w:cs="宋体"/>
          <w:color w:val="auto"/>
          <w:sz w:val="22"/>
          <w:highlight w:val="none"/>
        </w:rPr>
      </w:pPr>
      <w:r>
        <w:rPr>
          <w:rFonts w:hint="eastAsia" w:ascii="宋体" w:hAnsi="宋体" w:cs="宋体"/>
          <w:color w:val="auto"/>
          <w:sz w:val="22"/>
          <w:highlight w:val="none"/>
        </w:rPr>
        <w:t>致：深圳市东海国际招标有限公司</w:t>
      </w:r>
    </w:p>
    <w:p w14:paraId="786A1908">
      <w:pPr>
        <w:spacing w:line="360" w:lineRule="auto"/>
        <w:ind w:firstLine="440" w:firstLineChars="200"/>
        <w:rPr>
          <w:rFonts w:ascii="宋体" w:hAnsi="宋体" w:cs="宋体"/>
          <w:color w:val="auto"/>
          <w:sz w:val="22"/>
          <w:highlight w:val="none"/>
        </w:rPr>
      </w:pPr>
      <w:r>
        <w:rPr>
          <w:rFonts w:hint="eastAsia" w:ascii="宋体" w:hAnsi="宋体" w:cs="宋体"/>
          <w:color w:val="auto"/>
          <w:sz w:val="22"/>
          <w:highlight w:val="none"/>
        </w:rPr>
        <w:t>我公司承诺，在政府采购招标投标活动中无下列行为：</w:t>
      </w:r>
    </w:p>
    <w:p w14:paraId="298D66A4">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（一）被纪检监察部门立案调查，违法违规事实成立的；</w:t>
      </w:r>
    </w:p>
    <w:p w14:paraId="68147ACD">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（二）未按本条例规定签订、履行采购合同，造成严重后果的；</w:t>
      </w:r>
    </w:p>
    <w:p w14:paraId="218EE4C1">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（三）隐瞒真实情况，提供虚假资料的；</w:t>
      </w:r>
    </w:p>
    <w:p w14:paraId="455AF37A">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（四）以非法手段排斥其他供应商参与竞争的；</w:t>
      </w:r>
    </w:p>
    <w:p w14:paraId="2CDCABD3">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（五）与其他采购参加人串通投标的；</w:t>
      </w:r>
    </w:p>
    <w:p w14:paraId="2FC49505">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 xml:space="preserve">（六）在采购活动中应当回避而未回避的； </w:t>
      </w:r>
    </w:p>
    <w:p w14:paraId="51ABC7BF">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 xml:space="preserve">（七）恶意投诉的； </w:t>
      </w:r>
    </w:p>
    <w:p w14:paraId="1447EB80">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 xml:space="preserve">（八）向采购项目相关人行贿或者提供其他不当利益的； </w:t>
      </w:r>
    </w:p>
    <w:p w14:paraId="755B4CFC">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（九）阻碍、抗拒主管部门监督检查的；</w:t>
      </w:r>
    </w:p>
    <w:p w14:paraId="6E707E1D">
      <w:pPr>
        <w:tabs>
          <w:tab w:val="left" w:pos="567"/>
        </w:tabs>
        <w:spacing w:line="360" w:lineRule="auto"/>
        <w:ind w:left="420"/>
        <w:jc w:val="left"/>
        <w:rPr>
          <w:rFonts w:ascii="宋体" w:hAnsi="宋体" w:cs="宋体"/>
          <w:color w:val="auto"/>
          <w:sz w:val="22"/>
          <w:highlight w:val="none"/>
        </w:rPr>
      </w:pPr>
      <w:r>
        <w:rPr>
          <w:rFonts w:hint="eastAsia" w:ascii="宋体" w:hAnsi="宋体" w:cs="宋体"/>
          <w:color w:val="auto"/>
          <w:sz w:val="22"/>
          <w:highlight w:val="none"/>
        </w:rPr>
        <w:t>（十）履约检查不合格或者评价为差的；</w:t>
      </w:r>
    </w:p>
    <w:p w14:paraId="2211611E">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 xml:space="preserve">（十一）参与本项目投标前三年内，在经营活动中有重大违法记录； </w:t>
      </w:r>
    </w:p>
    <w:p w14:paraId="18812589">
      <w:pPr>
        <w:spacing w:line="36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（十二）参与本项目政府采购活动时存在处于被有关部门禁止参与政府采购活动且在有效期内的情况；</w:t>
      </w:r>
    </w:p>
    <w:p w14:paraId="1CE8E237">
      <w:pPr>
        <w:spacing w:line="360" w:lineRule="auto"/>
        <w:ind w:firstLine="440" w:firstLineChars="200"/>
        <w:rPr>
          <w:rFonts w:ascii="宋体" w:hAnsi="宋体" w:cs="宋体"/>
          <w:color w:val="auto"/>
          <w:sz w:val="22"/>
          <w:highlight w:val="none"/>
        </w:rPr>
      </w:pPr>
      <w:r>
        <w:rPr>
          <w:rFonts w:hint="eastAsia" w:ascii="宋体" w:hAnsi="宋体" w:cs="宋体"/>
          <w:color w:val="auto"/>
          <w:sz w:val="22"/>
          <w:highlight w:val="none"/>
        </w:rPr>
        <w:t>（十三）主管部门认定的其他情形。</w:t>
      </w:r>
    </w:p>
    <w:p w14:paraId="7AAAFF14">
      <w:pPr>
        <w:spacing w:line="360" w:lineRule="auto"/>
        <w:ind w:firstLine="440" w:firstLineChars="200"/>
        <w:rPr>
          <w:rFonts w:ascii="宋体" w:hAnsi="宋体" w:cs="宋体"/>
          <w:color w:val="auto"/>
          <w:sz w:val="22"/>
          <w:highlight w:val="none"/>
        </w:rPr>
      </w:pPr>
      <w:r>
        <w:rPr>
          <w:rFonts w:hint="eastAsia" w:ascii="宋体" w:hAnsi="宋体" w:cs="宋体"/>
          <w:color w:val="auto"/>
          <w:sz w:val="22"/>
          <w:highlight w:val="none"/>
        </w:rPr>
        <w:t>如我司在开标日前三年内存在上述行为超出法定追诉时效未被追诉、或者上述情节轻微未给予禁止参加政府采购的行政处罚，我司自愿承担虚假应标以及其他一切不利的法律后果。</w:t>
      </w:r>
    </w:p>
    <w:p w14:paraId="71CF0272">
      <w:pPr>
        <w:spacing w:line="360" w:lineRule="auto"/>
        <w:ind w:firstLine="440" w:firstLineChars="200"/>
        <w:rPr>
          <w:rFonts w:ascii="宋体" w:hAnsi="宋体" w:cs="宋体"/>
          <w:color w:val="auto"/>
          <w:sz w:val="22"/>
          <w:highlight w:val="none"/>
        </w:rPr>
      </w:pPr>
      <w:r>
        <w:rPr>
          <w:rFonts w:hint="eastAsia" w:ascii="宋体" w:hAnsi="宋体" w:cs="宋体"/>
          <w:color w:val="auto"/>
          <w:sz w:val="22"/>
          <w:highlight w:val="none"/>
        </w:rPr>
        <w:t>特此承诺。</w:t>
      </w:r>
    </w:p>
    <w:p w14:paraId="2EEE42E4">
      <w:pPr>
        <w:spacing w:line="360" w:lineRule="auto"/>
        <w:ind w:firstLine="480" w:firstLineChars="200"/>
        <w:rPr>
          <w:rFonts w:ascii="宋体" w:hAnsi="宋体" w:cs="宋体"/>
          <w:color w:val="auto"/>
          <w:sz w:val="24"/>
          <w:szCs w:val="24"/>
          <w:highlight w:val="none"/>
        </w:rPr>
      </w:pPr>
    </w:p>
    <w:p w14:paraId="0FEAD7C6">
      <w:pPr>
        <w:spacing w:line="360" w:lineRule="auto"/>
        <w:rPr>
          <w:color w:val="auto"/>
          <w:sz w:val="22"/>
          <w:highlight w:val="none"/>
        </w:rPr>
      </w:pPr>
      <w:r>
        <w:rPr>
          <w:rFonts w:hint="eastAsia" w:ascii="宋体" w:hAnsi="宋体"/>
          <w:color w:val="auto"/>
          <w:sz w:val="22"/>
          <w:highlight w:val="none"/>
          <w:lang w:val="zh-CN"/>
        </w:rPr>
        <w:t>法定代表人（</w:t>
      </w:r>
      <w:r>
        <w:rPr>
          <w:rFonts w:hint="eastAsia" w:ascii="宋体" w:hAnsi="宋体"/>
          <w:color w:val="auto"/>
          <w:sz w:val="22"/>
          <w:highlight w:val="none"/>
        </w:rPr>
        <w:t>单位负责人</w:t>
      </w:r>
      <w:r>
        <w:rPr>
          <w:rFonts w:hint="eastAsia" w:ascii="宋体" w:hAnsi="宋体"/>
          <w:color w:val="auto"/>
          <w:sz w:val="22"/>
          <w:highlight w:val="none"/>
          <w:lang w:val="zh-CN"/>
        </w:rPr>
        <w:t>）或其授权代表（签字</w:t>
      </w:r>
      <w:r>
        <w:rPr>
          <w:rFonts w:hint="eastAsia" w:ascii="宋体" w:hAnsi="宋体"/>
          <w:color w:val="auto"/>
          <w:sz w:val="22"/>
          <w:highlight w:val="none"/>
        </w:rPr>
        <w:t>或盖章</w:t>
      </w:r>
      <w:r>
        <w:rPr>
          <w:rFonts w:hint="eastAsia" w:ascii="宋体" w:hAnsi="宋体"/>
          <w:color w:val="auto"/>
          <w:sz w:val="22"/>
          <w:highlight w:val="none"/>
          <w:lang w:val="zh-CN"/>
        </w:rPr>
        <w:t>）</w:t>
      </w:r>
      <w:r>
        <w:rPr>
          <w:rFonts w:hint="eastAsia"/>
          <w:color w:val="auto"/>
          <w:sz w:val="22"/>
          <w:highlight w:val="none"/>
        </w:rPr>
        <w:t xml:space="preserve">：                   </w:t>
      </w:r>
    </w:p>
    <w:p w14:paraId="0C6EF9AD">
      <w:pPr>
        <w:spacing w:line="360" w:lineRule="auto"/>
        <w:rPr>
          <w:color w:val="auto"/>
          <w:sz w:val="22"/>
          <w:highlight w:val="none"/>
        </w:rPr>
      </w:pPr>
      <w:r>
        <w:rPr>
          <w:rFonts w:hint="eastAsia"/>
          <w:color w:val="auto"/>
          <w:sz w:val="22"/>
          <w:highlight w:val="none"/>
        </w:rPr>
        <w:t xml:space="preserve">投标人名称（盖章）：                        </w:t>
      </w:r>
    </w:p>
    <w:p w14:paraId="0484E69E">
      <w:pPr>
        <w:spacing w:line="360" w:lineRule="auto"/>
        <w:rPr>
          <w:color w:val="auto"/>
          <w:sz w:val="22"/>
          <w:highlight w:val="none"/>
        </w:rPr>
      </w:pPr>
      <w:r>
        <w:rPr>
          <w:rFonts w:hint="eastAsia"/>
          <w:color w:val="auto"/>
          <w:sz w:val="22"/>
          <w:highlight w:val="none"/>
        </w:rPr>
        <w:t>日期：   年   月   日</w:t>
      </w:r>
    </w:p>
    <w:p w14:paraId="56B61962">
      <w:pPr>
        <w:rPr>
          <w:color w:val="auto"/>
          <w:highlight w:val="none"/>
        </w:rPr>
      </w:pPr>
    </w:p>
    <w:p w14:paraId="15F49A60">
      <w:pPr>
        <w:numPr>
          <w:ilvl w:val="0"/>
          <w:numId w:val="0"/>
        </w:numPr>
        <w:tabs>
          <w:tab w:val="left" w:pos="0"/>
        </w:tabs>
        <w:ind w:left="0" w:leftChars="0" w:firstLine="0" w:firstLineChars="0"/>
        <w:jc w:val="center"/>
        <w:outlineLvl w:val="2"/>
        <w:rPr>
          <w:rFonts w:hint="eastAsia" w:ascii="宋体" w:hAnsi="宋体" w:eastAsia="宋体" w:cs="宋体"/>
          <w:b/>
          <w:color w:val="auto"/>
          <w:kern w:val="2"/>
          <w:sz w:val="32"/>
          <w:szCs w:val="32"/>
          <w:highlight w:val="none"/>
          <w:lang w:val="en-US" w:eastAsia="zh-CN" w:bidi="ar-SA"/>
        </w:rPr>
      </w:pPr>
    </w:p>
    <w:p w14:paraId="0A3D794C">
      <w:pPr>
        <w:numPr>
          <w:ilvl w:val="0"/>
          <w:numId w:val="0"/>
        </w:numPr>
        <w:tabs>
          <w:tab w:val="left" w:pos="0"/>
        </w:tabs>
        <w:ind w:left="0" w:leftChars="0" w:firstLine="0" w:firstLineChars="0"/>
        <w:jc w:val="center"/>
        <w:outlineLvl w:val="2"/>
        <w:rPr>
          <w:color w:val="auto"/>
          <w:sz w:val="24"/>
          <w:highlight w:val="none"/>
        </w:rPr>
      </w:pPr>
      <w:r>
        <w:rPr>
          <w:rFonts w:hint="eastAsia" w:ascii="宋体" w:hAnsi="宋体" w:eastAsia="宋体" w:cs="宋体"/>
          <w:b/>
          <w:color w:val="auto"/>
          <w:kern w:val="2"/>
          <w:sz w:val="32"/>
          <w:szCs w:val="32"/>
          <w:highlight w:val="none"/>
          <w:lang w:val="en-US" w:eastAsia="zh-CN" w:bidi="ar-SA"/>
        </w:rPr>
        <w:t>五、</w:t>
      </w:r>
      <w:r>
        <w:rPr>
          <w:rFonts w:hint="eastAsia"/>
          <w:b/>
          <w:bCs/>
          <w:color w:val="auto"/>
          <w:sz w:val="32"/>
          <w:szCs w:val="32"/>
          <w:highlight w:val="none"/>
        </w:rPr>
        <w:t>政府采购违法行为风险知悉确认书</w:t>
      </w:r>
    </w:p>
    <w:p w14:paraId="6419BDE6">
      <w:pPr>
        <w:pStyle w:val="81"/>
        <w:ind w:firstLine="420"/>
        <w:rPr>
          <w:color w:val="auto"/>
          <w:highlight w:val="none"/>
        </w:rPr>
      </w:pPr>
    </w:p>
    <w:p w14:paraId="07EF8253">
      <w:pPr>
        <w:ind w:firstLine="442" w:firstLineChars="200"/>
        <w:jc w:val="left"/>
        <w:rPr>
          <w:rFonts w:hint="eastAsia" w:ascii="宋体" w:hAnsi="宋体" w:cs="宋体"/>
          <w:b/>
          <w:bCs/>
          <w:color w:val="auto"/>
          <w:sz w:val="22"/>
          <w:highlight w:val="none"/>
        </w:rPr>
      </w:pPr>
      <w:r>
        <w:rPr>
          <w:rFonts w:hint="eastAsia" w:ascii="宋体" w:hAnsi="宋体" w:cs="宋体"/>
          <w:b/>
          <w:bCs/>
          <w:color w:val="auto"/>
          <w:sz w:val="22"/>
          <w:highlight w:val="none"/>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4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7810"/>
      </w:tblGrid>
      <w:tr w14:paraId="09DF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417" w:type="pct"/>
            <w:noWrap w:val="0"/>
            <w:vAlign w:val="top"/>
          </w:tcPr>
          <w:p w14:paraId="7E6CB7D9">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序号</w:t>
            </w:r>
          </w:p>
        </w:tc>
        <w:tc>
          <w:tcPr>
            <w:tcW w:w="4582" w:type="pct"/>
            <w:noWrap w:val="0"/>
            <w:vAlign w:val="top"/>
          </w:tcPr>
          <w:p w14:paraId="73C08111">
            <w:pPr>
              <w:spacing w:line="360" w:lineRule="exact"/>
              <w:jc w:val="center"/>
              <w:rPr>
                <w:rFonts w:hint="eastAsia" w:ascii="宋体" w:hAnsi="宋体" w:cs="宋体"/>
                <w:color w:val="auto"/>
                <w:sz w:val="22"/>
                <w:highlight w:val="none"/>
              </w:rPr>
            </w:pPr>
            <w:r>
              <w:rPr>
                <w:rFonts w:hint="eastAsia" w:ascii="宋体" w:hAnsi="宋体" w:cs="宋体"/>
                <w:b/>
                <w:bCs/>
                <w:color w:val="auto"/>
                <w:sz w:val="22"/>
                <w:highlight w:val="none"/>
              </w:rPr>
              <w:t>供应商参与投标禁止情形</w:t>
            </w:r>
          </w:p>
        </w:tc>
      </w:tr>
      <w:tr w14:paraId="38AB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noWrap w:val="0"/>
            <w:vAlign w:val="top"/>
          </w:tcPr>
          <w:p w14:paraId="6C25D4EF">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1</w:t>
            </w:r>
          </w:p>
        </w:tc>
        <w:tc>
          <w:tcPr>
            <w:tcW w:w="4582" w:type="pct"/>
            <w:noWrap w:val="0"/>
            <w:vAlign w:val="center"/>
          </w:tcPr>
          <w:p w14:paraId="5AF576DB">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与其他投标供应商的法定代表人、主要经营负责人、投标授权代表人、项目负责人、主要技术人员为</w:t>
            </w:r>
            <w:r>
              <w:rPr>
                <w:rFonts w:hint="eastAsia" w:ascii="宋体" w:hAnsi="宋体" w:cs="宋体"/>
                <w:b/>
                <w:bCs/>
                <w:color w:val="auto"/>
                <w:sz w:val="22"/>
                <w:highlight w:val="none"/>
              </w:rPr>
              <w:t>同一人、属同一单位或者在同一单位缴纳社会保险</w:t>
            </w:r>
            <w:r>
              <w:rPr>
                <w:rFonts w:hint="eastAsia" w:ascii="宋体" w:hAnsi="宋体" w:cs="宋体"/>
                <w:color w:val="auto"/>
                <w:sz w:val="22"/>
                <w:highlight w:val="none"/>
              </w:rPr>
              <w:t>。</w:t>
            </w:r>
          </w:p>
        </w:tc>
      </w:tr>
      <w:tr w14:paraId="2F4E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pct"/>
            <w:noWrap w:val="0"/>
            <w:vAlign w:val="top"/>
          </w:tcPr>
          <w:p w14:paraId="1B8AD1F5">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2</w:t>
            </w:r>
          </w:p>
        </w:tc>
        <w:tc>
          <w:tcPr>
            <w:tcW w:w="4582" w:type="pct"/>
            <w:noWrap w:val="0"/>
            <w:vAlign w:val="center"/>
          </w:tcPr>
          <w:p w14:paraId="11C206EE">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参与本项目政府采购活动时，与其他投标供应商存在单位负责人为</w:t>
            </w:r>
            <w:r>
              <w:rPr>
                <w:rFonts w:hint="eastAsia" w:ascii="宋体" w:hAnsi="宋体" w:cs="宋体"/>
                <w:b/>
                <w:bCs/>
                <w:color w:val="auto"/>
                <w:sz w:val="22"/>
                <w:highlight w:val="none"/>
              </w:rPr>
              <w:t>同一人或直接控股、管理关系</w:t>
            </w:r>
            <w:r>
              <w:rPr>
                <w:rFonts w:hint="eastAsia" w:ascii="宋体" w:hAnsi="宋体" w:cs="宋体"/>
                <w:color w:val="auto"/>
                <w:sz w:val="22"/>
                <w:highlight w:val="none"/>
              </w:rPr>
              <w:t>。</w:t>
            </w:r>
          </w:p>
        </w:tc>
      </w:tr>
      <w:tr w14:paraId="4E35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noWrap w:val="0"/>
            <w:vAlign w:val="top"/>
          </w:tcPr>
          <w:p w14:paraId="49664CE6">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3</w:t>
            </w:r>
          </w:p>
        </w:tc>
        <w:tc>
          <w:tcPr>
            <w:tcW w:w="4582" w:type="pct"/>
            <w:noWrap w:val="0"/>
            <w:vAlign w:val="center"/>
          </w:tcPr>
          <w:p w14:paraId="63E1593C">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与其他投标供应商的投标文件或部分投标文件</w:t>
            </w:r>
            <w:r>
              <w:rPr>
                <w:rFonts w:hint="eastAsia" w:ascii="宋体" w:hAnsi="宋体" w:cs="宋体"/>
                <w:b/>
                <w:bCs/>
                <w:color w:val="auto"/>
                <w:sz w:val="22"/>
                <w:highlight w:val="none"/>
              </w:rPr>
              <w:t>相互混装或存在非正常一致</w:t>
            </w:r>
            <w:r>
              <w:rPr>
                <w:rFonts w:hint="eastAsia" w:ascii="宋体" w:hAnsi="宋体" w:cs="宋体"/>
                <w:color w:val="auto"/>
                <w:sz w:val="22"/>
                <w:highlight w:val="none"/>
              </w:rPr>
              <w:t>。</w:t>
            </w:r>
          </w:p>
        </w:tc>
      </w:tr>
      <w:tr w14:paraId="0859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noWrap w:val="0"/>
            <w:vAlign w:val="top"/>
          </w:tcPr>
          <w:p w14:paraId="1C7A6CEC">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4</w:t>
            </w:r>
          </w:p>
        </w:tc>
        <w:tc>
          <w:tcPr>
            <w:tcW w:w="4582" w:type="pct"/>
            <w:noWrap w:val="0"/>
            <w:vAlign w:val="center"/>
          </w:tcPr>
          <w:p w14:paraId="0042533F">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与其他投标供应商的投标文件由</w:t>
            </w:r>
            <w:r>
              <w:rPr>
                <w:rFonts w:hint="eastAsia" w:ascii="宋体" w:hAnsi="宋体" w:cs="宋体"/>
                <w:b/>
                <w:bCs/>
                <w:color w:val="auto"/>
                <w:sz w:val="22"/>
                <w:highlight w:val="none"/>
              </w:rPr>
              <w:t>同一单位或者同一人编制</w:t>
            </w:r>
            <w:r>
              <w:rPr>
                <w:rFonts w:hint="eastAsia" w:ascii="宋体" w:hAnsi="宋体" w:cs="宋体"/>
                <w:color w:val="auto"/>
                <w:sz w:val="22"/>
                <w:highlight w:val="none"/>
              </w:rPr>
              <w:t>，或者使用</w:t>
            </w:r>
            <w:r>
              <w:rPr>
                <w:rFonts w:hint="eastAsia" w:ascii="宋体" w:hAnsi="宋体" w:cs="宋体"/>
                <w:b/>
                <w:bCs/>
                <w:color w:val="auto"/>
                <w:sz w:val="22"/>
                <w:highlight w:val="none"/>
              </w:rPr>
              <w:t>同一设备编制</w:t>
            </w:r>
            <w:r>
              <w:rPr>
                <w:rFonts w:hint="eastAsia" w:ascii="宋体" w:hAnsi="宋体" w:cs="宋体"/>
                <w:color w:val="auto"/>
                <w:sz w:val="22"/>
                <w:highlight w:val="none"/>
              </w:rPr>
              <w:t>（“文件制作机器码”“文件创建标识码”一致）。</w:t>
            </w:r>
          </w:p>
        </w:tc>
      </w:tr>
      <w:tr w14:paraId="7DFE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pct"/>
            <w:noWrap w:val="0"/>
            <w:vAlign w:val="top"/>
          </w:tcPr>
          <w:p w14:paraId="17C46FAD">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5</w:t>
            </w:r>
          </w:p>
        </w:tc>
        <w:tc>
          <w:tcPr>
            <w:tcW w:w="4582" w:type="pct"/>
            <w:noWrap w:val="0"/>
            <w:vAlign w:val="center"/>
          </w:tcPr>
          <w:p w14:paraId="49BFA3D6">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提供</w:t>
            </w:r>
            <w:r>
              <w:rPr>
                <w:rFonts w:hint="eastAsia" w:ascii="宋体" w:hAnsi="宋体" w:cs="宋体"/>
                <w:b/>
                <w:bCs/>
                <w:color w:val="auto"/>
                <w:sz w:val="22"/>
                <w:highlight w:val="none"/>
              </w:rPr>
              <w:t>未经出具机构核实</w:t>
            </w:r>
            <w:r>
              <w:rPr>
                <w:rFonts w:hint="eastAsia" w:ascii="宋体" w:hAnsi="宋体" w:cs="宋体"/>
                <w:color w:val="auto"/>
                <w:sz w:val="22"/>
                <w:highlight w:val="none"/>
              </w:rPr>
              <w:t>的虚假的检验检测报告、业绩材料、社保缴纳证明、学历学位证书、职称认证证书等材料。</w:t>
            </w:r>
          </w:p>
        </w:tc>
      </w:tr>
      <w:tr w14:paraId="4725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noWrap w:val="0"/>
            <w:vAlign w:val="top"/>
          </w:tcPr>
          <w:p w14:paraId="1432A3DB">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6</w:t>
            </w:r>
          </w:p>
        </w:tc>
        <w:tc>
          <w:tcPr>
            <w:tcW w:w="4582" w:type="pct"/>
            <w:noWrap w:val="0"/>
            <w:vAlign w:val="center"/>
          </w:tcPr>
          <w:p w14:paraId="479DBE2E">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擅自将投标密钥或电子营业执照出借他人使用或未妥善保管。</w:t>
            </w:r>
          </w:p>
        </w:tc>
      </w:tr>
    </w:tbl>
    <w:p w14:paraId="61640D4C">
      <w:pPr>
        <w:rPr>
          <w:rFonts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一、本公司已充分知悉“隐瞒真实情况，提供虚假资料”的法定情形，相关情形包括但不限于</w:t>
      </w:r>
      <w:r>
        <w:rPr>
          <w:rFonts w:hint="eastAsia" w:ascii="宋体" w:hAnsi="宋体" w:eastAsia="宋体" w:cs="宋体"/>
          <w:color w:val="auto"/>
          <w:sz w:val="22"/>
          <w:szCs w:val="22"/>
          <w:highlight w:val="none"/>
        </w:rPr>
        <w:t xml:space="preserve">： </w:t>
      </w:r>
    </w:p>
    <w:p w14:paraId="0F5256CB">
      <w:pPr>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（一）通过转让或者租借等方式从其他单位获取资格或者资质证书投标的。 </w:t>
      </w:r>
    </w:p>
    <w:p w14:paraId="66466B88">
      <w:pPr>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（二）由其他单位或者其他单位负责人在投标供应商编制的投标文件上加盖印章或者签字的。 </w:t>
      </w:r>
    </w:p>
    <w:p w14:paraId="6C6EC916">
      <w:pPr>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（三）项目负责人或者主要技术人员不是本单位人员的。 </w:t>
      </w:r>
    </w:p>
    <w:p w14:paraId="0BBFB233">
      <w:pPr>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（四）投标保证金不是从投标供应商基本账户转出的。 </w:t>
      </w:r>
    </w:p>
    <w:p w14:paraId="58E099DB">
      <w:pPr>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（五）其他隐瞒真实情况、提供虚假资料的行为。 </w:t>
      </w:r>
    </w:p>
    <w:p w14:paraId="04100201">
      <w:pPr>
        <w:rPr>
          <w:rFonts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二、本公司已充分知悉“与其他采购参加人串通投标”的法定情形，相关情形包括但不限于： </w:t>
      </w:r>
    </w:p>
    <w:p w14:paraId="6E778D62">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（一）投标供应商之间相互约定给予未中标的供应商利益补偿。</w:t>
      </w:r>
    </w:p>
    <w:p w14:paraId="31628411">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（二）不同投标供应商的法定代表人、主要经营负责人、项目投标授权代表人、项目负责人、主要技术人员为同一人、属同一单位或者在同一单位缴纳社会保险。 </w:t>
      </w:r>
    </w:p>
    <w:p w14:paraId="4DC6BD5F">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（三）不同投标供应商的投标文件由同一单位或者同一人编制，或者由同一人分阶段参与编制的。 </w:t>
      </w:r>
    </w:p>
    <w:p w14:paraId="5BF70FD0">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（四）不同投标供应商的投标文件或部分投标文件相互混装。</w:t>
      </w:r>
    </w:p>
    <w:p w14:paraId="2D2FDF36">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（五）不同投标供应商的投标文件内容存在非正常一致。 </w:t>
      </w:r>
    </w:p>
    <w:p w14:paraId="27094E68">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（六）由同一单位工作人员为两家以上（含两家）供应商进行同一项投标活动的。 </w:t>
      </w:r>
    </w:p>
    <w:p w14:paraId="58931B64">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（七）不同投标人的投标报价呈规律性差异。 </w:t>
      </w:r>
    </w:p>
    <w:p w14:paraId="09A52D74">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（八）不同投标人的投标保证金从同一单位或者个人的账户转出。</w:t>
      </w:r>
    </w:p>
    <w:p w14:paraId="3D924A6B">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（九）主管部门依照法律、法规认定的其他情形。 </w:t>
      </w:r>
    </w:p>
    <w:p w14:paraId="5671A860">
      <w:pPr>
        <w:rPr>
          <w:rFonts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三、本公司已充分知悉下列情形所对应的法律风险，并在投标前已对相关风险事项进行排查。 </w:t>
      </w:r>
    </w:p>
    <w:p w14:paraId="419AE654">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（一）对于从其他主体获取的投标资料，供应商应审慎核查，确保投标资料的真实性。</w:t>
      </w:r>
      <w:r>
        <w:rPr>
          <w:rFonts w:hint="eastAsia" w:ascii="宋体" w:hAnsi="宋体" w:eastAsia="宋体" w:cs="宋体"/>
          <w:b/>
          <w:bCs/>
          <w:color w:val="auto"/>
          <w:sz w:val="22"/>
          <w:szCs w:val="22"/>
          <w:highlight w:val="none"/>
        </w:rPr>
        <w:t xml:space="preserve">如主管部门查实投标文件中存在虚假资料的，无论相关资料是否由第三方或本公司员工提供，均不影响主管部门对供应商存在“隐瞒真实情况，提供虚假资料”违法行为的认定。 </w:t>
      </w:r>
    </w:p>
    <w:p w14:paraId="44805DD6">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52D3F5AE">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（三）对于涉及安全生产、特种作业、抢险救灾、防疫等政府采购项目，供应商实施提供虚假资料、串通投标等违法行为的，主管部门将依法从严处理。 </w:t>
      </w:r>
    </w:p>
    <w:p w14:paraId="048461C5">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424D3D84">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 </w:t>
      </w:r>
    </w:p>
    <w:p w14:paraId="189ADB86">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（六）单位负责人为同一人或者存在直接控股、管理关系的不同供应商，不得参加同一合同项下的政府采购活动。相关情形如查实，依法作投标无效处理；涉嫌串通投标等违法行为的，主管部门将依法调查处理。 </w:t>
      </w:r>
    </w:p>
    <w:p w14:paraId="07A693CA">
      <w:pPr>
        <w:rPr>
          <w:rFonts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四、本公司已充分知悉政府采购违法、违规行为的法律后果。 </w:t>
      </w:r>
    </w:p>
    <w:p w14:paraId="2AD08EE9">
      <w:pPr>
        <w:keepNext w:val="0"/>
        <w:keepLines w:val="0"/>
        <w:pageBreakBefore w:val="0"/>
        <w:widowControl w:val="0"/>
        <w:kinsoku/>
        <w:wordWrap/>
        <w:overflowPunct/>
        <w:topLinePunct w:val="0"/>
        <w:autoSpaceDE/>
        <w:autoSpaceDN/>
        <w:bidi w:val="0"/>
        <w:adjustRightInd/>
        <w:snapToGrid/>
        <w:ind w:firstLine="440" w:firstLineChars="200"/>
        <w:textAlignment w:val="auto"/>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经查实，若投标供应商存在政府采购违法、违规行为，主管部门 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 </w:t>
      </w:r>
    </w:p>
    <w:p w14:paraId="58FF4DF0">
      <w:pPr>
        <w:keepNext w:val="0"/>
        <w:keepLines w:val="0"/>
        <w:pageBreakBefore w:val="0"/>
        <w:widowControl w:val="0"/>
        <w:kinsoku/>
        <w:wordWrap/>
        <w:overflowPunct/>
        <w:topLinePunct w:val="0"/>
        <w:autoSpaceDE/>
        <w:autoSpaceDN/>
        <w:bidi w:val="0"/>
        <w:adjustRightInd/>
        <w:snapToGrid/>
        <w:ind w:firstLine="442" w:firstLineChars="200"/>
        <w:textAlignment w:val="auto"/>
        <w:rPr>
          <w:rFonts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以下文字请投标供应商抄写并确认：“本公司已仔细阅读《政府采购违法行为风险知悉确认书》，充分知悉违法行为的法律后果，并承诺将严谨、诚信、依法依规参与政府采购活动”。 </w:t>
      </w:r>
    </w:p>
    <w:p w14:paraId="61A785A1">
      <w:pPr>
        <w:pStyle w:val="80"/>
        <w:rPr>
          <w:rFonts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                                                                           </w:t>
      </w:r>
    </w:p>
    <w:p w14:paraId="77C9B90E">
      <w:pPr>
        <w:pStyle w:val="80"/>
        <w:rPr>
          <w:rFonts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                                                                           </w:t>
      </w:r>
    </w:p>
    <w:p w14:paraId="4B00B4B7">
      <w:pPr>
        <w:pStyle w:val="80"/>
        <w:rPr>
          <w:rFonts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                                                                           </w:t>
      </w:r>
    </w:p>
    <w:p w14:paraId="77358C7C">
      <w:pPr>
        <w:pStyle w:val="80"/>
        <w:rPr>
          <w:rFonts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                                                                           </w:t>
      </w:r>
    </w:p>
    <w:p w14:paraId="38062E83">
      <w:pPr>
        <w:pStyle w:val="80"/>
        <w:rPr>
          <w:rFonts w:ascii="宋体" w:hAnsi="宋体" w:eastAsia="宋体" w:cs="宋体"/>
          <w:color w:val="auto"/>
          <w:sz w:val="22"/>
          <w:szCs w:val="22"/>
          <w:highlight w:val="none"/>
        </w:rPr>
      </w:pPr>
    </w:p>
    <w:p w14:paraId="3B604A8D">
      <w:pPr>
        <w:jc w:val="righ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负责人/投标授权代表签名： </w:t>
      </w:r>
    </w:p>
    <w:p w14:paraId="07CB0295">
      <w:pPr>
        <w:jc w:val="righ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知悉人（公章）： </w:t>
      </w:r>
    </w:p>
    <w:p w14:paraId="6C9A4A85">
      <w:pPr>
        <w:jc w:val="righ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日期：</w:t>
      </w:r>
    </w:p>
    <w:p w14:paraId="27843B41">
      <w:pPr>
        <w:rPr>
          <w:rFonts w:ascii="宋体" w:hAnsi="宋体" w:eastAsia="宋体" w:cs="宋体"/>
          <w:b/>
          <w:bCs/>
          <w:color w:val="auto"/>
          <w:highlight w:val="none"/>
        </w:rPr>
      </w:pPr>
    </w:p>
    <w:p w14:paraId="2D8BED3C">
      <w:pPr>
        <w:pStyle w:val="42"/>
        <w:ind w:firstLine="0" w:firstLineChars="0"/>
        <w:rPr>
          <w:color w:val="auto"/>
          <w:highlight w:val="none"/>
        </w:rPr>
      </w:pPr>
      <w:r>
        <w:rPr>
          <w:rFonts w:hint="eastAsia" w:ascii="宋体" w:hAnsi="宋体" w:eastAsia="宋体" w:cs="宋体"/>
          <w:b/>
          <w:bCs/>
          <w:color w:val="auto"/>
          <w:highlight w:val="none"/>
        </w:rPr>
        <w:t>注：该风险知悉确认书用于对供应商违法行为的警示，不作为供应商资格性审查及符合性审查条件。</w:t>
      </w:r>
    </w:p>
    <w:p w14:paraId="673C28A8">
      <w:pPr>
        <w:rPr>
          <w:color w:val="auto"/>
          <w:sz w:val="22"/>
          <w:highlight w:val="none"/>
        </w:rPr>
      </w:pPr>
      <w:r>
        <w:rPr>
          <w:color w:val="auto"/>
          <w:sz w:val="22"/>
          <w:highlight w:val="none"/>
        </w:rPr>
        <w:br w:type="page"/>
      </w:r>
    </w:p>
    <w:p w14:paraId="28001B7C">
      <w:pPr>
        <w:spacing w:line="360" w:lineRule="auto"/>
        <w:rPr>
          <w:color w:val="auto"/>
          <w:sz w:val="22"/>
          <w:highlight w:val="none"/>
        </w:rPr>
      </w:pPr>
    </w:p>
    <w:p w14:paraId="072EADD4">
      <w:pPr>
        <w:numPr>
          <w:ilvl w:val="0"/>
          <w:numId w:val="0"/>
        </w:numPr>
        <w:tabs>
          <w:tab w:val="left" w:pos="0"/>
        </w:tabs>
        <w:ind w:left="0" w:leftChars="0" w:firstLine="0" w:firstLineChars="0"/>
        <w:jc w:val="center"/>
        <w:outlineLvl w:val="2"/>
        <w:rPr>
          <w:rFonts w:hint="eastAsia" w:ascii="宋体" w:hAnsi="宋体" w:eastAsia="宋体" w:cs="宋体"/>
          <w:b/>
          <w:color w:val="auto"/>
          <w:kern w:val="2"/>
          <w:sz w:val="32"/>
          <w:szCs w:val="32"/>
          <w:highlight w:val="none"/>
          <w:lang w:val="en-US" w:eastAsia="zh-CN" w:bidi="ar-SA"/>
        </w:rPr>
      </w:pPr>
    </w:p>
    <w:p w14:paraId="39387E42">
      <w:pPr>
        <w:numPr>
          <w:ilvl w:val="0"/>
          <w:numId w:val="0"/>
        </w:numPr>
        <w:tabs>
          <w:tab w:val="left" w:pos="0"/>
        </w:tabs>
        <w:ind w:left="0" w:leftChars="0" w:firstLine="0" w:firstLineChars="0"/>
        <w:jc w:val="center"/>
        <w:outlineLvl w:val="2"/>
        <w:rPr>
          <w:rFonts w:hint="eastAsia"/>
          <w:color w:val="auto"/>
          <w:highlight w:val="none"/>
        </w:rPr>
      </w:pPr>
      <w:r>
        <w:rPr>
          <w:rFonts w:hint="eastAsia" w:ascii="宋体" w:hAnsi="宋体" w:eastAsia="宋体" w:cs="宋体"/>
          <w:b/>
          <w:color w:val="auto"/>
          <w:kern w:val="2"/>
          <w:sz w:val="32"/>
          <w:szCs w:val="32"/>
          <w:highlight w:val="none"/>
          <w:lang w:val="en-US" w:eastAsia="zh-CN" w:bidi="ar-SA"/>
        </w:rPr>
        <w:t>六、</w:t>
      </w:r>
      <w:r>
        <w:rPr>
          <w:rFonts w:hint="eastAsia"/>
          <w:b/>
          <w:bCs/>
          <w:color w:val="auto"/>
          <w:sz w:val="32"/>
          <w:szCs w:val="32"/>
          <w:highlight w:val="none"/>
        </w:rPr>
        <w:t>法定代表人证明书</w:t>
      </w:r>
    </w:p>
    <w:p w14:paraId="31E9FE14">
      <w:pPr>
        <w:spacing w:line="360" w:lineRule="exact"/>
        <w:rPr>
          <w:rFonts w:hint="eastAsia" w:cs="宋体"/>
          <w:color w:val="auto"/>
          <w:sz w:val="22"/>
          <w:highlight w:val="none"/>
        </w:rPr>
      </w:pPr>
    </w:p>
    <w:p w14:paraId="724BE425">
      <w:pPr>
        <w:spacing w:line="360" w:lineRule="exact"/>
        <w:rPr>
          <w:rFonts w:hint="eastAsia" w:cs="宋体"/>
          <w:color w:val="auto"/>
          <w:sz w:val="22"/>
          <w:highlight w:val="none"/>
        </w:rPr>
      </w:pPr>
      <w:r>
        <w:rPr>
          <w:rFonts w:hint="eastAsia" w:cs="宋体"/>
          <w:color w:val="auto"/>
          <w:sz w:val="22"/>
          <w:highlight w:val="none"/>
        </w:rPr>
        <w:t xml:space="preserve">   </w:t>
      </w:r>
      <w:r>
        <w:rPr>
          <w:rFonts w:hint="eastAsia" w:cs="宋体"/>
          <w:color w:val="auto"/>
          <w:sz w:val="22"/>
          <w:highlight w:val="none"/>
          <w:u w:val="single"/>
        </w:rPr>
        <w:t xml:space="preserve">         </w:t>
      </w:r>
      <w:r>
        <w:rPr>
          <w:rFonts w:hint="eastAsia" w:cs="宋体"/>
          <w:color w:val="auto"/>
          <w:sz w:val="22"/>
          <w:highlight w:val="none"/>
        </w:rPr>
        <w:t>同志，现任我单位</w:t>
      </w:r>
      <w:r>
        <w:rPr>
          <w:rFonts w:hint="eastAsia" w:cs="宋体"/>
          <w:color w:val="auto"/>
          <w:sz w:val="22"/>
          <w:highlight w:val="none"/>
          <w:u w:val="single"/>
        </w:rPr>
        <w:t xml:space="preserve">         </w:t>
      </w:r>
      <w:r>
        <w:rPr>
          <w:rFonts w:hint="eastAsia" w:cs="宋体"/>
          <w:color w:val="auto"/>
          <w:sz w:val="22"/>
          <w:highlight w:val="none"/>
        </w:rPr>
        <w:t>职务，为法定代表人，特此证明。</w:t>
      </w:r>
    </w:p>
    <w:p w14:paraId="37208E20">
      <w:pPr>
        <w:spacing w:line="360" w:lineRule="exact"/>
        <w:rPr>
          <w:rFonts w:hint="eastAsia" w:cs="宋体"/>
          <w:color w:val="auto"/>
          <w:sz w:val="22"/>
          <w:highlight w:val="none"/>
        </w:rPr>
      </w:pPr>
      <w:r>
        <w:rPr>
          <w:rFonts w:hint="eastAsia" w:cs="宋体"/>
          <w:color w:val="auto"/>
          <w:sz w:val="22"/>
          <w:highlight w:val="none"/>
        </w:rPr>
        <w:t xml:space="preserve">有效日期：         签发日期：         单位：              </w:t>
      </w:r>
    </w:p>
    <w:p w14:paraId="5EAE631A">
      <w:pPr>
        <w:spacing w:line="360" w:lineRule="exact"/>
        <w:rPr>
          <w:rFonts w:hint="eastAsia" w:cs="宋体"/>
          <w:color w:val="auto"/>
          <w:sz w:val="22"/>
          <w:highlight w:val="none"/>
        </w:rPr>
      </w:pPr>
      <w:r>
        <w:rPr>
          <w:rFonts w:hint="eastAsia" w:cs="宋体"/>
          <w:color w:val="auto"/>
          <w:sz w:val="22"/>
          <w:highlight w:val="none"/>
        </w:rPr>
        <w:t>附：代表人性别：   年龄：      身份证号码：</w:t>
      </w:r>
    </w:p>
    <w:p w14:paraId="54212E5E">
      <w:pPr>
        <w:spacing w:line="360" w:lineRule="exact"/>
        <w:rPr>
          <w:rFonts w:hint="eastAsia" w:cs="宋体"/>
          <w:color w:val="auto"/>
          <w:sz w:val="22"/>
          <w:highlight w:val="none"/>
        </w:rPr>
      </w:pPr>
      <w:r>
        <w:rPr>
          <w:rFonts w:hint="eastAsia" w:cs="宋体"/>
          <w:color w:val="auto"/>
          <w:sz w:val="22"/>
          <w:highlight w:val="none"/>
        </w:rPr>
        <w:t>营业执照号码：                 经济性质：</w:t>
      </w:r>
    </w:p>
    <w:p w14:paraId="0D92044F">
      <w:pPr>
        <w:spacing w:line="360" w:lineRule="exact"/>
        <w:rPr>
          <w:rFonts w:hint="eastAsia" w:cs="宋体"/>
          <w:color w:val="auto"/>
          <w:sz w:val="22"/>
          <w:highlight w:val="none"/>
        </w:rPr>
      </w:pPr>
      <w:r>
        <w:rPr>
          <w:rFonts w:hint="eastAsia" w:cs="宋体"/>
          <w:color w:val="auto"/>
          <w:sz w:val="22"/>
          <w:highlight w:val="none"/>
        </w:rPr>
        <w:t>主营（产）：</w:t>
      </w:r>
    </w:p>
    <w:p w14:paraId="46454E91">
      <w:pPr>
        <w:spacing w:line="360" w:lineRule="exact"/>
        <w:rPr>
          <w:rFonts w:hint="eastAsia" w:cs="宋体"/>
          <w:color w:val="auto"/>
          <w:sz w:val="22"/>
          <w:highlight w:val="none"/>
        </w:rPr>
      </w:pPr>
      <w:r>
        <w:rPr>
          <w:rFonts w:hint="eastAsia" w:cs="宋体"/>
          <w:color w:val="auto"/>
          <w:sz w:val="22"/>
          <w:highlight w:val="none"/>
        </w:rPr>
        <w:t>兼营（产）：</w:t>
      </w:r>
    </w:p>
    <w:p w14:paraId="3AAA4BFD">
      <w:pPr>
        <w:spacing w:line="360" w:lineRule="exact"/>
        <w:rPr>
          <w:rFonts w:hint="eastAsia" w:cs="宋体"/>
          <w:color w:val="auto"/>
          <w:sz w:val="22"/>
          <w:highlight w:val="none"/>
        </w:rPr>
      </w:pPr>
      <w:r>
        <w:rPr>
          <w:rFonts w:hint="eastAsia" w:cs="宋体"/>
          <w:color w:val="auto"/>
          <w:sz w:val="22"/>
          <w:highlight w:val="none"/>
        </w:rPr>
        <w:t>进口物品经营许可证号码：</w:t>
      </w:r>
    </w:p>
    <w:p w14:paraId="16F80370">
      <w:pPr>
        <w:spacing w:line="360" w:lineRule="exact"/>
        <w:rPr>
          <w:rFonts w:hint="eastAsia" w:cs="宋体"/>
          <w:color w:val="auto"/>
          <w:sz w:val="22"/>
          <w:highlight w:val="none"/>
        </w:rPr>
      </w:pPr>
      <w:r>
        <w:rPr>
          <w:rFonts w:hint="eastAsia" w:cs="宋体"/>
          <w:color w:val="auto"/>
          <w:sz w:val="22"/>
          <w:highlight w:val="none"/>
        </w:rPr>
        <w:t>主营：</w:t>
      </w:r>
    </w:p>
    <w:p w14:paraId="39B00145">
      <w:pPr>
        <w:spacing w:line="360" w:lineRule="exact"/>
        <w:rPr>
          <w:rFonts w:hint="eastAsia" w:cs="宋体"/>
          <w:color w:val="auto"/>
          <w:sz w:val="22"/>
          <w:highlight w:val="none"/>
        </w:rPr>
      </w:pPr>
      <w:r>
        <w:rPr>
          <w:rFonts w:hint="eastAsia" w:cs="宋体"/>
          <w:color w:val="auto"/>
          <w:sz w:val="22"/>
          <w:highlight w:val="none"/>
        </w:rPr>
        <w:t>兼营：</w:t>
      </w:r>
    </w:p>
    <w:p w14:paraId="4F92A153">
      <w:pPr>
        <w:spacing w:line="360" w:lineRule="exact"/>
        <w:rPr>
          <w:rFonts w:hint="eastAsia" w:cs="宋体"/>
          <w:color w:val="auto"/>
          <w:sz w:val="22"/>
          <w:highlight w:val="none"/>
        </w:rPr>
      </w:pPr>
      <w:r>
        <w:rPr>
          <w:rFonts w:hint="eastAsia" w:cs="宋体"/>
          <w:color w:val="auto"/>
          <w:sz w:val="22"/>
          <w:highlight w:val="none"/>
        </w:rPr>
        <w:t>说明：1、法定代表人为企业事业单位、国家机关、社会团体的主要行政负责人。</w:t>
      </w:r>
    </w:p>
    <w:p w14:paraId="42E417A0">
      <w:pPr>
        <w:spacing w:line="360" w:lineRule="exact"/>
        <w:rPr>
          <w:rFonts w:hint="eastAsia" w:cs="宋体"/>
          <w:color w:val="auto"/>
          <w:sz w:val="22"/>
          <w:highlight w:val="none"/>
        </w:rPr>
      </w:pPr>
      <w:r>
        <w:rPr>
          <w:rFonts w:hint="eastAsia" w:cs="宋体"/>
          <w:color w:val="auto"/>
          <w:sz w:val="22"/>
          <w:highlight w:val="none"/>
        </w:rPr>
        <w:t xml:space="preserve">      2、内容必须填写真实、清楚，涂改无效，不得转让、买卖。</w:t>
      </w:r>
    </w:p>
    <w:p w14:paraId="3AF63CF0">
      <w:pPr>
        <w:spacing w:line="360" w:lineRule="exact"/>
        <w:ind w:left="660"/>
        <w:rPr>
          <w:rFonts w:hint="eastAsia" w:ascii="Times New Roman" w:hAnsi="Times New Roman" w:eastAsia="宋体" w:cs="宋体"/>
          <w:color w:val="auto"/>
          <w:sz w:val="22"/>
          <w:highlight w:val="none"/>
        </w:rPr>
      </w:pPr>
      <w:r>
        <w:rPr>
          <w:rFonts w:hint="eastAsia" w:ascii="Times New Roman" w:hAnsi="Times New Roman" w:eastAsia="宋体" w:cs="宋体"/>
          <w:color w:val="auto"/>
          <w:sz w:val="22"/>
          <w:highlight w:val="none"/>
        </w:rPr>
        <w:t>3、提供法定代表人的身份证复印件（附后）</w:t>
      </w:r>
      <w:r>
        <w:rPr>
          <w:rFonts w:hint="eastAsia" w:ascii="Times New Roman" w:hAnsi="Times New Roman" w:eastAsia="宋体" w:cs="宋体"/>
          <w:color w:val="auto"/>
          <w:sz w:val="22"/>
          <w:highlight w:val="none"/>
          <w:lang w:eastAsia="zh-CN"/>
        </w:rPr>
        <w:t>，法定代表人属于境外人员（含港澳台）无法提供身份证的，可提供护照。</w:t>
      </w:r>
    </w:p>
    <w:p w14:paraId="6E23D193">
      <w:pPr>
        <w:spacing w:line="360" w:lineRule="auto"/>
        <w:jc w:val="center"/>
        <w:rPr>
          <w:rFonts w:hint="eastAsia"/>
          <w:bCs/>
          <w:color w:val="auto"/>
          <w:sz w:val="24"/>
          <w:highlight w:val="none"/>
        </w:rPr>
      </w:pPr>
    </w:p>
    <w:p w14:paraId="2E5064C2">
      <w:pPr>
        <w:rPr>
          <w:color w:val="auto"/>
          <w:highlight w:val="none"/>
        </w:rPr>
      </w:pPr>
      <w:r>
        <w:rPr>
          <w:rFonts w:hint="eastAsia" w:ascii="Times New Roman" w:hAnsi="Times New Roman" w:eastAsia="宋体" w:cs="宋体"/>
          <w:color w:val="auto"/>
          <w:sz w:val="22"/>
          <w:highlight w:val="none"/>
          <w:lang w:eastAsia="zh-CN"/>
        </w:rPr>
        <w:t>注</w:t>
      </w:r>
      <w:r>
        <w:rPr>
          <w:rFonts w:hint="eastAsia" w:ascii="Times New Roman" w:hAnsi="Times New Roman" w:eastAsia="宋体" w:cs="宋体"/>
          <w:color w:val="auto"/>
          <w:sz w:val="22"/>
          <w:highlight w:val="none"/>
        </w:rPr>
        <w:t>:提供近一个月社保缴纳查询记录(包含在投标单位及其他缴纳社保单位的记录，如开标日上一个月的社保材料因社保部门原因暂时无法取得，则可以往前顺延一个月)；因社保部门、成立年限等原因暂时无法提供社保证明的，需提供加盖公章的情况说明或者证明材料。如为退休返聘人员则提供劳动合同或返聘协议扫描件。</w:t>
      </w:r>
    </w:p>
    <w:p w14:paraId="4CC66320">
      <w:pPr>
        <w:rPr>
          <w:color w:val="auto"/>
          <w:highlight w:val="none"/>
        </w:rPr>
      </w:pPr>
    </w:p>
    <w:p w14:paraId="6B28B7F6">
      <w:pPr>
        <w:spacing w:line="360" w:lineRule="auto"/>
        <w:rPr>
          <w:color w:val="auto"/>
          <w:sz w:val="22"/>
          <w:highlight w:val="none"/>
        </w:rPr>
      </w:pPr>
      <w:r>
        <w:rPr>
          <w:rFonts w:hint="eastAsia"/>
          <w:color w:val="auto"/>
          <w:sz w:val="22"/>
          <w:highlight w:val="none"/>
        </w:rPr>
        <w:t xml:space="preserve">投标人名称（盖章）：                        </w:t>
      </w:r>
    </w:p>
    <w:p w14:paraId="15C7FB29">
      <w:pPr>
        <w:spacing w:line="360" w:lineRule="auto"/>
        <w:rPr>
          <w:color w:val="auto"/>
          <w:sz w:val="22"/>
          <w:highlight w:val="none"/>
        </w:rPr>
      </w:pPr>
      <w:r>
        <w:rPr>
          <w:rFonts w:hint="eastAsia"/>
          <w:color w:val="auto"/>
          <w:sz w:val="22"/>
          <w:highlight w:val="none"/>
        </w:rPr>
        <w:t>日期：   年   月   日</w:t>
      </w:r>
    </w:p>
    <w:p w14:paraId="135DF822">
      <w:pPr>
        <w:rPr>
          <w:rFonts w:hint="eastAsia" w:ascii="宋体" w:hAnsi="宋体" w:eastAsia="宋体" w:cs="宋体"/>
          <w:b/>
          <w:color w:val="auto"/>
          <w:kern w:val="2"/>
          <w:sz w:val="32"/>
          <w:szCs w:val="32"/>
          <w:highlight w:val="none"/>
          <w:lang w:val="en-US" w:eastAsia="zh-CN" w:bidi="ar-SA"/>
        </w:rPr>
      </w:pPr>
      <w:r>
        <w:rPr>
          <w:rFonts w:hint="eastAsia" w:ascii="宋体" w:hAnsi="宋体" w:eastAsia="宋体" w:cs="宋体"/>
          <w:b/>
          <w:color w:val="auto"/>
          <w:kern w:val="2"/>
          <w:sz w:val="32"/>
          <w:szCs w:val="32"/>
          <w:highlight w:val="none"/>
          <w:lang w:val="en-US" w:eastAsia="zh-CN" w:bidi="ar-SA"/>
        </w:rPr>
        <w:br w:type="page"/>
      </w:r>
    </w:p>
    <w:p w14:paraId="23A93793">
      <w:pPr>
        <w:numPr>
          <w:ilvl w:val="0"/>
          <w:numId w:val="0"/>
        </w:numPr>
        <w:tabs>
          <w:tab w:val="left" w:pos="0"/>
        </w:tabs>
        <w:ind w:left="0" w:leftChars="0" w:firstLine="397" w:firstLineChars="0"/>
        <w:jc w:val="center"/>
        <w:outlineLvl w:val="2"/>
        <w:rPr>
          <w:b/>
          <w:color w:val="auto"/>
          <w:highlight w:val="none"/>
        </w:rPr>
      </w:pPr>
      <w:r>
        <w:rPr>
          <w:rFonts w:hint="eastAsia" w:ascii="宋体" w:hAnsi="宋体" w:eastAsia="宋体" w:cs="宋体"/>
          <w:b/>
          <w:color w:val="auto"/>
          <w:kern w:val="2"/>
          <w:sz w:val="32"/>
          <w:szCs w:val="32"/>
          <w:highlight w:val="none"/>
          <w:lang w:val="en-US" w:eastAsia="zh-CN" w:bidi="ar-SA"/>
        </w:rPr>
        <w:t>七、</w:t>
      </w:r>
      <w:r>
        <w:rPr>
          <w:rFonts w:hint="eastAsia"/>
          <w:b/>
          <w:bCs/>
          <w:color w:val="auto"/>
          <w:kern w:val="0"/>
          <w:sz w:val="32"/>
          <w:szCs w:val="36"/>
          <w:highlight w:val="none"/>
        </w:rPr>
        <w:t>法定代表人授权书</w:t>
      </w:r>
    </w:p>
    <w:p w14:paraId="5349630D">
      <w:pPr>
        <w:rPr>
          <w:bCs/>
          <w:color w:val="auto"/>
          <w:sz w:val="24"/>
          <w:highlight w:val="none"/>
        </w:rPr>
      </w:pPr>
    </w:p>
    <w:p w14:paraId="5F2A4CB0">
      <w:pPr>
        <w:spacing w:line="360" w:lineRule="exact"/>
        <w:rPr>
          <w:bCs/>
          <w:color w:val="auto"/>
          <w:sz w:val="22"/>
          <w:highlight w:val="none"/>
        </w:rPr>
      </w:pPr>
      <w:r>
        <w:rPr>
          <w:bCs/>
          <w:color w:val="auto"/>
          <w:sz w:val="22"/>
          <w:highlight w:val="none"/>
        </w:rPr>
        <w:t>致：</w:t>
      </w:r>
      <w:r>
        <w:rPr>
          <w:color w:val="auto"/>
          <w:kern w:val="0"/>
          <w:sz w:val="22"/>
          <w:highlight w:val="none"/>
          <w:lang w:val="en-US" w:eastAsia="zh-CN"/>
        </w:rPr>
        <w:t>深圳市东海国际招标有限公司</w:t>
      </w:r>
    </w:p>
    <w:p w14:paraId="048DEA4F">
      <w:pPr>
        <w:spacing w:line="360" w:lineRule="exact"/>
        <w:rPr>
          <w:bCs/>
          <w:color w:val="auto"/>
          <w:sz w:val="22"/>
          <w:highlight w:val="none"/>
        </w:rPr>
      </w:pPr>
    </w:p>
    <w:p w14:paraId="252F90BF">
      <w:pPr>
        <w:spacing w:line="360" w:lineRule="exact"/>
        <w:rPr>
          <w:bCs/>
          <w:color w:val="auto"/>
          <w:sz w:val="22"/>
          <w:highlight w:val="none"/>
        </w:rPr>
      </w:pPr>
      <w:r>
        <w:rPr>
          <w:bCs/>
          <w:color w:val="auto"/>
          <w:sz w:val="22"/>
          <w:highlight w:val="none"/>
        </w:rPr>
        <w:t xml:space="preserve">     </w:t>
      </w:r>
      <w:r>
        <w:rPr>
          <w:bCs/>
          <w:color w:val="auto"/>
          <w:sz w:val="22"/>
          <w:highlight w:val="none"/>
          <w:u w:val="single"/>
        </w:rPr>
        <w:t xml:space="preserve">          （投标人全称）     </w:t>
      </w:r>
      <w:r>
        <w:rPr>
          <w:bCs/>
          <w:color w:val="auto"/>
          <w:sz w:val="22"/>
          <w:highlight w:val="none"/>
        </w:rPr>
        <w:t xml:space="preserve"> 法定代表人</w:t>
      </w:r>
      <w:r>
        <w:rPr>
          <w:bCs/>
          <w:color w:val="auto"/>
          <w:sz w:val="22"/>
          <w:highlight w:val="none"/>
          <w:u w:val="single"/>
        </w:rPr>
        <w:t xml:space="preserve">  （姓名、职务）              </w:t>
      </w:r>
      <w:r>
        <w:rPr>
          <w:bCs/>
          <w:color w:val="auto"/>
          <w:sz w:val="22"/>
          <w:highlight w:val="none"/>
        </w:rPr>
        <w:t xml:space="preserve">授权 </w:t>
      </w:r>
      <w:r>
        <w:rPr>
          <w:bCs/>
          <w:color w:val="auto"/>
          <w:sz w:val="22"/>
          <w:highlight w:val="none"/>
          <w:u w:val="single"/>
        </w:rPr>
        <w:t xml:space="preserve">  （被授权代表姓名、职务）              </w:t>
      </w:r>
      <w:r>
        <w:rPr>
          <w:bCs/>
          <w:color w:val="auto"/>
          <w:sz w:val="22"/>
          <w:highlight w:val="none"/>
        </w:rPr>
        <w:t>为本公司合法代理人，参加贵招标代理公司组织的</w:t>
      </w:r>
      <w:r>
        <w:rPr>
          <w:bCs/>
          <w:color w:val="auto"/>
          <w:sz w:val="22"/>
          <w:highlight w:val="none"/>
          <w:u w:val="single"/>
        </w:rPr>
        <w:t xml:space="preserve">   (项目名称)（项目编号）                      </w:t>
      </w:r>
      <w:r>
        <w:rPr>
          <w:bCs/>
          <w:color w:val="auto"/>
          <w:sz w:val="22"/>
          <w:highlight w:val="none"/>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49ED8B40">
      <w:pPr>
        <w:spacing w:line="360" w:lineRule="exact"/>
        <w:rPr>
          <w:bCs/>
          <w:color w:val="auto"/>
          <w:sz w:val="22"/>
          <w:highlight w:val="none"/>
        </w:rPr>
      </w:pPr>
      <w:r>
        <w:rPr>
          <w:bCs/>
          <w:color w:val="auto"/>
          <w:sz w:val="22"/>
          <w:highlight w:val="none"/>
        </w:rPr>
        <w:t xml:space="preserve">     本授权书于</w:t>
      </w:r>
      <w:r>
        <w:rPr>
          <w:bCs/>
          <w:color w:val="auto"/>
          <w:sz w:val="22"/>
          <w:highlight w:val="none"/>
          <w:u w:val="single"/>
        </w:rPr>
        <w:t xml:space="preserve">       </w:t>
      </w:r>
      <w:r>
        <w:rPr>
          <w:bCs/>
          <w:color w:val="auto"/>
          <w:sz w:val="22"/>
          <w:highlight w:val="none"/>
        </w:rPr>
        <w:t>年</w:t>
      </w:r>
      <w:r>
        <w:rPr>
          <w:bCs/>
          <w:color w:val="auto"/>
          <w:sz w:val="22"/>
          <w:highlight w:val="none"/>
          <w:u w:val="single"/>
        </w:rPr>
        <w:t xml:space="preserve">   </w:t>
      </w:r>
      <w:r>
        <w:rPr>
          <w:bCs/>
          <w:color w:val="auto"/>
          <w:sz w:val="22"/>
          <w:highlight w:val="none"/>
        </w:rPr>
        <w:t>月</w:t>
      </w:r>
      <w:r>
        <w:rPr>
          <w:bCs/>
          <w:color w:val="auto"/>
          <w:sz w:val="22"/>
          <w:highlight w:val="none"/>
          <w:u w:val="single"/>
        </w:rPr>
        <w:t xml:space="preserve">    </w:t>
      </w:r>
      <w:r>
        <w:rPr>
          <w:bCs/>
          <w:color w:val="auto"/>
          <w:sz w:val="22"/>
          <w:highlight w:val="none"/>
        </w:rPr>
        <w:t>日签字生效，特此声明。</w:t>
      </w:r>
    </w:p>
    <w:p w14:paraId="559AD07A">
      <w:pPr>
        <w:spacing w:line="360" w:lineRule="exact"/>
        <w:rPr>
          <w:bCs/>
          <w:color w:val="auto"/>
          <w:sz w:val="22"/>
          <w:highlight w:val="none"/>
        </w:rPr>
      </w:pPr>
    </w:p>
    <w:p w14:paraId="30A572BD">
      <w:pPr>
        <w:spacing w:line="360" w:lineRule="exact"/>
        <w:ind w:firstLine="110" w:firstLineChars="50"/>
        <w:rPr>
          <w:bCs/>
          <w:color w:val="auto"/>
          <w:sz w:val="22"/>
          <w:highlight w:val="none"/>
          <w:u w:val="single"/>
        </w:rPr>
      </w:pPr>
      <w:r>
        <w:rPr>
          <w:bCs/>
          <w:color w:val="auto"/>
          <w:sz w:val="22"/>
          <w:highlight w:val="none"/>
        </w:rPr>
        <w:t>被授权人：</w:t>
      </w:r>
      <w:r>
        <w:rPr>
          <w:bCs/>
          <w:color w:val="auto"/>
          <w:sz w:val="22"/>
          <w:highlight w:val="none"/>
          <w:u w:val="single"/>
        </w:rPr>
        <w:t xml:space="preserve">                  </w:t>
      </w:r>
      <w:r>
        <w:rPr>
          <w:bCs/>
          <w:color w:val="auto"/>
          <w:sz w:val="22"/>
          <w:highlight w:val="none"/>
        </w:rPr>
        <w:t xml:space="preserve">   职务：</w:t>
      </w:r>
      <w:r>
        <w:rPr>
          <w:bCs/>
          <w:color w:val="auto"/>
          <w:sz w:val="22"/>
          <w:highlight w:val="none"/>
          <w:u w:val="single"/>
        </w:rPr>
        <w:t xml:space="preserve">                  </w:t>
      </w:r>
    </w:p>
    <w:p w14:paraId="5085D956">
      <w:pPr>
        <w:spacing w:line="360" w:lineRule="exact"/>
        <w:ind w:firstLine="110" w:firstLineChars="50"/>
        <w:rPr>
          <w:bCs/>
          <w:color w:val="auto"/>
          <w:sz w:val="22"/>
          <w:highlight w:val="none"/>
          <w:u w:val="single"/>
        </w:rPr>
      </w:pPr>
      <w:r>
        <w:rPr>
          <w:bCs/>
          <w:color w:val="auto"/>
          <w:sz w:val="22"/>
          <w:highlight w:val="none"/>
        </w:rPr>
        <w:t>联系电话：</w:t>
      </w:r>
      <w:r>
        <w:rPr>
          <w:bCs/>
          <w:color w:val="auto"/>
          <w:sz w:val="22"/>
          <w:highlight w:val="none"/>
          <w:u w:val="single"/>
        </w:rPr>
        <w:t xml:space="preserve">                  </w:t>
      </w:r>
      <w:r>
        <w:rPr>
          <w:bCs/>
          <w:color w:val="auto"/>
          <w:sz w:val="22"/>
          <w:highlight w:val="none"/>
        </w:rPr>
        <w:t xml:space="preserve">   手机：</w:t>
      </w:r>
      <w:r>
        <w:rPr>
          <w:bCs/>
          <w:color w:val="auto"/>
          <w:sz w:val="22"/>
          <w:highlight w:val="none"/>
          <w:u w:val="single"/>
        </w:rPr>
        <w:t xml:space="preserve">                  </w:t>
      </w:r>
    </w:p>
    <w:p w14:paraId="4522E8B0">
      <w:pPr>
        <w:spacing w:line="360" w:lineRule="exact"/>
        <w:ind w:firstLine="110" w:firstLineChars="50"/>
        <w:rPr>
          <w:bCs/>
          <w:color w:val="auto"/>
          <w:sz w:val="22"/>
          <w:highlight w:val="none"/>
        </w:rPr>
      </w:pPr>
      <w:r>
        <w:rPr>
          <w:bCs/>
          <w:color w:val="auto"/>
          <w:sz w:val="22"/>
          <w:highlight w:val="none"/>
        </w:rPr>
        <w:t>身份证号码：</w:t>
      </w:r>
      <w:r>
        <w:rPr>
          <w:bCs/>
          <w:color w:val="auto"/>
          <w:sz w:val="22"/>
          <w:highlight w:val="none"/>
          <w:u w:val="single"/>
        </w:rPr>
        <w:t xml:space="preserve">                                           </w:t>
      </w:r>
    </w:p>
    <w:p w14:paraId="5EB5EAD3">
      <w:pPr>
        <w:spacing w:line="360" w:lineRule="exact"/>
        <w:ind w:firstLine="110" w:firstLineChars="50"/>
        <w:rPr>
          <w:bCs/>
          <w:color w:val="auto"/>
          <w:sz w:val="22"/>
          <w:highlight w:val="none"/>
          <w:u w:val="single"/>
        </w:rPr>
      </w:pPr>
      <w:r>
        <w:rPr>
          <w:bCs/>
          <w:color w:val="auto"/>
          <w:sz w:val="22"/>
          <w:highlight w:val="none"/>
        </w:rPr>
        <w:t>投标人（盖章）：</w:t>
      </w:r>
      <w:r>
        <w:rPr>
          <w:bCs/>
          <w:color w:val="auto"/>
          <w:sz w:val="22"/>
          <w:highlight w:val="none"/>
          <w:u w:val="single"/>
        </w:rPr>
        <w:t xml:space="preserve">                                        </w:t>
      </w:r>
    </w:p>
    <w:p w14:paraId="0C408F45">
      <w:pPr>
        <w:spacing w:line="360" w:lineRule="exact"/>
        <w:ind w:firstLine="110" w:firstLineChars="50"/>
        <w:rPr>
          <w:bCs/>
          <w:color w:val="auto"/>
          <w:sz w:val="22"/>
          <w:highlight w:val="none"/>
          <w:u w:val="single"/>
        </w:rPr>
      </w:pPr>
      <w:r>
        <w:rPr>
          <w:bCs/>
          <w:color w:val="auto"/>
          <w:sz w:val="22"/>
          <w:highlight w:val="none"/>
        </w:rPr>
        <w:t>法定代表人（签名）：</w:t>
      </w:r>
      <w:r>
        <w:rPr>
          <w:bCs/>
          <w:color w:val="auto"/>
          <w:sz w:val="22"/>
          <w:highlight w:val="none"/>
          <w:u w:val="single"/>
        </w:rPr>
        <w:t xml:space="preserve">                                    </w:t>
      </w:r>
    </w:p>
    <w:p w14:paraId="44535FBE">
      <w:pPr>
        <w:spacing w:line="360" w:lineRule="exact"/>
        <w:ind w:firstLine="110" w:firstLineChars="50"/>
        <w:rPr>
          <w:bCs/>
          <w:color w:val="auto"/>
          <w:sz w:val="22"/>
          <w:highlight w:val="none"/>
          <w:u w:val="single"/>
        </w:rPr>
      </w:pPr>
      <w:r>
        <w:rPr>
          <w:bCs/>
          <w:color w:val="auto"/>
          <w:sz w:val="22"/>
          <w:highlight w:val="none"/>
        </w:rPr>
        <w:t>被授权人（签名）：</w:t>
      </w:r>
      <w:r>
        <w:rPr>
          <w:bCs/>
          <w:color w:val="auto"/>
          <w:sz w:val="22"/>
          <w:highlight w:val="none"/>
          <w:u w:val="single"/>
        </w:rPr>
        <w:t xml:space="preserve">                                      </w:t>
      </w:r>
    </w:p>
    <w:p w14:paraId="237BE526">
      <w:pPr>
        <w:spacing w:line="360" w:lineRule="exact"/>
        <w:rPr>
          <w:bCs/>
          <w:color w:val="auto"/>
          <w:sz w:val="22"/>
          <w:highlight w:val="none"/>
        </w:rPr>
      </w:pPr>
    </w:p>
    <w:p w14:paraId="4419BB95">
      <w:pPr>
        <w:spacing w:line="360" w:lineRule="exact"/>
        <w:rPr>
          <w:bCs/>
          <w:color w:val="auto"/>
          <w:sz w:val="22"/>
          <w:highlight w:val="none"/>
        </w:rPr>
      </w:pPr>
      <w:r>
        <w:rPr>
          <w:bCs/>
          <w:color w:val="auto"/>
          <w:sz w:val="22"/>
          <w:highlight w:val="none"/>
        </w:rPr>
        <w:t>说明：1.本授权委托书要求投标人提供有</w:t>
      </w:r>
      <w:r>
        <w:rPr>
          <w:b/>
          <w:bCs/>
          <w:color w:val="auto"/>
          <w:sz w:val="22"/>
          <w:highlight w:val="none"/>
        </w:rPr>
        <w:t>代理人签字、法定代表人的签字（或盖私章）和加盖公章</w:t>
      </w:r>
      <w:r>
        <w:rPr>
          <w:bCs/>
          <w:color w:val="auto"/>
          <w:sz w:val="22"/>
          <w:highlight w:val="none"/>
        </w:rPr>
        <w:t>后的原件方为有效；</w:t>
      </w:r>
    </w:p>
    <w:p w14:paraId="00833E32">
      <w:pPr>
        <w:spacing w:line="360" w:lineRule="exact"/>
        <w:rPr>
          <w:rFonts w:hint="eastAsia" w:ascii="Times New Roman" w:hAnsi="Times New Roman" w:eastAsia="宋体" w:cs="Times New Roman"/>
          <w:bCs/>
          <w:color w:val="auto"/>
          <w:sz w:val="22"/>
          <w:highlight w:val="none"/>
        </w:rPr>
      </w:pPr>
      <w:r>
        <w:rPr>
          <w:rFonts w:hint="eastAsia" w:ascii="Times New Roman" w:hAnsi="Times New Roman" w:eastAsia="宋体" w:cs="Times New Roman"/>
          <w:bCs/>
          <w:color w:val="auto"/>
          <w:sz w:val="22"/>
          <w:highlight w:val="none"/>
        </w:rPr>
        <w:t>2.必须提供代理人身份证(境外人员</w:t>
      </w:r>
      <w:r>
        <w:rPr>
          <w:rFonts w:hint="eastAsia" w:ascii="Times New Roman" w:hAnsi="Times New Roman" w:eastAsia="宋体" w:cs="Times New Roman"/>
          <w:bCs/>
          <w:color w:val="auto"/>
          <w:sz w:val="22"/>
          <w:highlight w:val="none"/>
          <w:lang w:eastAsia="zh-CN"/>
        </w:rPr>
        <w:t>（含港澳台）</w:t>
      </w:r>
      <w:r>
        <w:rPr>
          <w:rFonts w:hint="eastAsia" w:ascii="Times New Roman" w:hAnsi="Times New Roman" w:eastAsia="宋体" w:cs="Times New Roman"/>
          <w:bCs/>
          <w:color w:val="auto"/>
          <w:sz w:val="22"/>
          <w:highlight w:val="none"/>
        </w:rPr>
        <w:t>无法提供身份证的，可提供护照)扫描件(正反两面)。，</w:t>
      </w:r>
    </w:p>
    <w:p w14:paraId="1AE43143">
      <w:pPr>
        <w:spacing w:line="360" w:lineRule="exact"/>
        <w:rPr>
          <w:rFonts w:ascii="Times New Roman" w:hAnsi="Times New Roman" w:eastAsia="宋体" w:cs="Times New Roman"/>
          <w:bCs/>
          <w:color w:val="auto"/>
          <w:sz w:val="22"/>
          <w:highlight w:val="none"/>
        </w:rPr>
      </w:pPr>
      <w:r>
        <w:rPr>
          <w:rFonts w:hint="eastAsia" w:ascii="Times New Roman" w:hAnsi="Times New Roman" w:eastAsia="宋体" w:cs="Times New Roman"/>
          <w:bCs/>
          <w:color w:val="auto"/>
          <w:sz w:val="22"/>
          <w:highlight w:val="none"/>
        </w:rPr>
        <w:t>3.提供近一个月社保缴纳查询记录(包含在投标单位及其他缴纳社保单位的记录，如开标日上一个月的社保材料因社保部门原因暂时无法取得，则可以往前顺延一个月)；因社保部门、成立年限等原因暂时无法提供社保证明的，需提供加盖公章的情况说明或者证明材料。如为退休返聘人员则提供劳动合同或返聘协议扫描件。</w:t>
      </w:r>
    </w:p>
    <w:p w14:paraId="59BDD38B">
      <w:pPr>
        <w:rPr>
          <w:b/>
          <w:color w:val="auto"/>
          <w:sz w:val="24"/>
          <w:highlight w:val="none"/>
        </w:rPr>
      </w:pPr>
    </w:p>
    <w:p w14:paraId="613890F9">
      <w:pPr>
        <w:rPr>
          <w:b/>
          <w:bCs/>
          <w:color w:val="auto"/>
          <w:sz w:val="32"/>
          <w:szCs w:val="32"/>
          <w:highlight w:val="none"/>
        </w:rPr>
      </w:pPr>
      <w:r>
        <w:rPr>
          <w:b/>
          <w:bCs/>
          <w:color w:val="auto"/>
          <w:sz w:val="32"/>
          <w:szCs w:val="32"/>
          <w:highlight w:val="none"/>
        </w:rPr>
        <w:br w:type="page"/>
      </w:r>
    </w:p>
    <w:p w14:paraId="6300A03C">
      <w:pPr>
        <w:jc w:val="center"/>
        <w:rPr>
          <w:b/>
          <w:bCs/>
          <w:color w:val="auto"/>
          <w:sz w:val="32"/>
          <w:szCs w:val="32"/>
          <w:highlight w:val="none"/>
        </w:rPr>
      </w:pPr>
    </w:p>
    <w:p w14:paraId="7E35BA15">
      <w:pPr>
        <w:numPr>
          <w:ilvl w:val="0"/>
          <w:numId w:val="0"/>
        </w:numPr>
        <w:tabs>
          <w:tab w:val="left" w:pos="0"/>
        </w:tabs>
        <w:ind w:left="0" w:leftChars="0" w:firstLine="397" w:firstLineChars="0"/>
        <w:jc w:val="center"/>
        <w:outlineLvl w:val="2"/>
        <w:rPr>
          <w:b/>
          <w:bCs/>
          <w:color w:val="auto"/>
          <w:sz w:val="32"/>
          <w:szCs w:val="32"/>
          <w:highlight w:val="none"/>
        </w:rPr>
      </w:pPr>
      <w:r>
        <w:rPr>
          <w:rFonts w:hint="eastAsia" w:ascii="宋体" w:hAnsi="宋体" w:eastAsia="宋体" w:cs="宋体"/>
          <w:b/>
          <w:bCs/>
          <w:color w:val="auto"/>
          <w:kern w:val="2"/>
          <w:sz w:val="32"/>
          <w:szCs w:val="32"/>
          <w:highlight w:val="none"/>
          <w:lang w:val="en-US" w:eastAsia="zh-CN" w:bidi="ar-SA"/>
        </w:rPr>
        <w:t>八、</w:t>
      </w:r>
      <w:r>
        <w:rPr>
          <w:rFonts w:hint="eastAsia"/>
          <w:b/>
          <w:bCs/>
          <w:color w:val="auto"/>
          <w:kern w:val="0"/>
          <w:sz w:val="32"/>
          <w:szCs w:val="32"/>
          <w:highlight w:val="none"/>
        </w:rPr>
        <w:t>招标</w:t>
      </w:r>
      <w:r>
        <w:rPr>
          <w:b/>
          <w:bCs/>
          <w:color w:val="auto"/>
          <w:sz w:val="32"/>
          <w:szCs w:val="32"/>
          <w:highlight w:val="none"/>
        </w:rPr>
        <w:t>代理服务费承诺函</w:t>
      </w:r>
    </w:p>
    <w:p w14:paraId="0283C599">
      <w:pPr>
        <w:spacing w:line="360" w:lineRule="auto"/>
        <w:rPr>
          <w:color w:val="auto"/>
          <w:sz w:val="24"/>
          <w:highlight w:val="none"/>
        </w:rPr>
      </w:pPr>
    </w:p>
    <w:p w14:paraId="1E266BDA">
      <w:pPr>
        <w:spacing w:line="360" w:lineRule="exact"/>
        <w:rPr>
          <w:b/>
          <w:color w:val="auto"/>
          <w:sz w:val="22"/>
          <w:highlight w:val="none"/>
        </w:rPr>
      </w:pPr>
      <w:r>
        <w:rPr>
          <w:color w:val="auto"/>
          <w:sz w:val="22"/>
          <w:highlight w:val="none"/>
        </w:rPr>
        <w:t>致：深圳市东海国际招标有限公司</w:t>
      </w:r>
    </w:p>
    <w:p w14:paraId="28B1DDDF">
      <w:pPr>
        <w:widowControl/>
        <w:autoSpaceDE w:val="0"/>
        <w:autoSpaceDN w:val="0"/>
        <w:spacing w:line="360" w:lineRule="exact"/>
        <w:ind w:right="17" w:firstLine="440" w:firstLineChars="200"/>
        <w:textAlignment w:val="bottom"/>
        <w:rPr>
          <w:color w:val="auto"/>
          <w:sz w:val="22"/>
          <w:highlight w:val="none"/>
        </w:rPr>
      </w:pPr>
    </w:p>
    <w:p w14:paraId="08EE666E">
      <w:pPr>
        <w:pStyle w:val="42"/>
        <w:spacing w:line="360" w:lineRule="exact"/>
        <w:ind w:left="0" w:leftChars="0" w:firstLine="415" w:firstLineChars="189"/>
        <w:rPr>
          <w:rFonts w:ascii="Times New Roman" w:hAnsi="Times New Roman"/>
          <w:color w:val="auto"/>
          <w:sz w:val="22"/>
          <w:szCs w:val="22"/>
          <w:highlight w:val="none"/>
        </w:rPr>
      </w:pPr>
      <w:r>
        <w:rPr>
          <w:rFonts w:ascii="Times New Roman" w:hAnsi="Times New Roman"/>
          <w:color w:val="auto"/>
          <w:sz w:val="22"/>
          <w:szCs w:val="22"/>
          <w:highlight w:val="none"/>
        </w:rPr>
        <w:t>我们在贵司代理的</w:t>
      </w:r>
      <w:r>
        <w:rPr>
          <w:rFonts w:ascii="Times New Roman" w:hAnsi="Times New Roman"/>
          <w:color w:val="auto"/>
          <w:sz w:val="22"/>
          <w:szCs w:val="22"/>
          <w:highlight w:val="none"/>
          <w:u w:val="single"/>
        </w:rPr>
        <w:t xml:space="preserve">         </w:t>
      </w:r>
      <w:r>
        <w:rPr>
          <w:rFonts w:ascii="Times New Roman" w:hAnsi="Times New Roman"/>
          <w:color w:val="auto"/>
          <w:sz w:val="22"/>
          <w:szCs w:val="22"/>
          <w:highlight w:val="none"/>
        </w:rPr>
        <w:t>项目（设备）招标中若获中标（项目编号：</w:t>
      </w:r>
      <w:r>
        <w:rPr>
          <w:rFonts w:ascii="Times New Roman" w:hAnsi="Times New Roman"/>
          <w:color w:val="auto"/>
          <w:sz w:val="22"/>
          <w:szCs w:val="22"/>
          <w:highlight w:val="none"/>
          <w:u w:val="single"/>
        </w:rPr>
        <w:t xml:space="preserve">         </w:t>
      </w:r>
      <w:r>
        <w:rPr>
          <w:rFonts w:ascii="Times New Roman" w:hAnsi="Times New Roman"/>
          <w:color w:val="auto"/>
          <w:sz w:val="22"/>
          <w:szCs w:val="22"/>
          <w:highlight w:val="none"/>
        </w:rPr>
        <w:t>），我们保证在收到中标通知书原件的同时按招标文件的规定，以转账、支票、汇票、电汇、现金或经贵公司认可的一种方式，向贵公司即深圳市东海国际招标有限公司指定的银行账号，一次性支付招标代理服务费。</w:t>
      </w:r>
      <w:r>
        <w:rPr>
          <w:rFonts w:hint="eastAsia" w:ascii="Times New Roman" w:hAnsi="Times New Roman"/>
          <w:color w:val="auto"/>
          <w:sz w:val="22"/>
          <w:szCs w:val="22"/>
          <w:highlight w:val="none"/>
        </w:rPr>
        <w:t>招标代理服务费依据深财购[2018]27号文及相关规定 收费。</w:t>
      </w:r>
    </w:p>
    <w:p w14:paraId="15BCE2D3">
      <w:pPr>
        <w:widowControl/>
        <w:autoSpaceDE w:val="0"/>
        <w:autoSpaceDN w:val="0"/>
        <w:spacing w:line="360" w:lineRule="exact"/>
        <w:ind w:right="893"/>
        <w:textAlignment w:val="bottom"/>
        <w:rPr>
          <w:color w:val="auto"/>
          <w:sz w:val="22"/>
          <w:highlight w:val="none"/>
        </w:rPr>
      </w:pPr>
    </w:p>
    <w:p w14:paraId="5B920E8B">
      <w:pPr>
        <w:widowControl/>
        <w:autoSpaceDE w:val="0"/>
        <w:autoSpaceDN w:val="0"/>
        <w:spacing w:line="360" w:lineRule="exact"/>
        <w:ind w:right="893"/>
        <w:textAlignment w:val="bottom"/>
        <w:rPr>
          <w:color w:val="auto"/>
          <w:sz w:val="22"/>
          <w:highlight w:val="none"/>
        </w:rPr>
      </w:pPr>
    </w:p>
    <w:p w14:paraId="7A1D9830">
      <w:pPr>
        <w:widowControl/>
        <w:autoSpaceDE w:val="0"/>
        <w:autoSpaceDN w:val="0"/>
        <w:spacing w:line="360" w:lineRule="exact"/>
        <w:ind w:right="893" w:firstLine="440" w:firstLineChars="200"/>
        <w:textAlignment w:val="bottom"/>
        <w:rPr>
          <w:color w:val="auto"/>
          <w:sz w:val="22"/>
          <w:highlight w:val="none"/>
        </w:rPr>
      </w:pPr>
      <w:r>
        <w:rPr>
          <w:color w:val="auto"/>
          <w:sz w:val="22"/>
          <w:highlight w:val="none"/>
        </w:rPr>
        <w:t>特此承诺。</w:t>
      </w:r>
    </w:p>
    <w:p w14:paraId="6F4850FC">
      <w:pPr>
        <w:widowControl/>
        <w:autoSpaceDE w:val="0"/>
        <w:autoSpaceDN w:val="0"/>
        <w:spacing w:line="360" w:lineRule="exact"/>
        <w:ind w:right="893"/>
        <w:textAlignment w:val="bottom"/>
        <w:rPr>
          <w:color w:val="auto"/>
          <w:sz w:val="22"/>
          <w:highlight w:val="none"/>
        </w:rPr>
      </w:pPr>
    </w:p>
    <w:p w14:paraId="47774DDD">
      <w:pPr>
        <w:widowControl/>
        <w:autoSpaceDE w:val="0"/>
        <w:autoSpaceDN w:val="0"/>
        <w:spacing w:line="360" w:lineRule="exact"/>
        <w:ind w:right="893"/>
        <w:textAlignment w:val="bottom"/>
        <w:rPr>
          <w:color w:val="auto"/>
          <w:sz w:val="22"/>
          <w:highlight w:val="none"/>
        </w:rPr>
      </w:pPr>
    </w:p>
    <w:p w14:paraId="2E17E52E">
      <w:pPr>
        <w:spacing w:line="360" w:lineRule="exact"/>
        <w:rPr>
          <w:color w:val="auto"/>
          <w:sz w:val="22"/>
          <w:highlight w:val="none"/>
        </w:rPr>
      </w:pPr>
    </w:p>
    <w:p w14:paraId="1693B1CC">
      <w:pPr>
        <w:spacing w:line="360" w:lineRule="exact"/>
        <w:ind w:right="440"/>
        <w:jc w:val="right"/>
        <w:rPr>
          <w:bCs/>
          <w:color w:val="auto"/>
          <w:sz w:val="22"/>
          <w:highlight w:val="none"/>
        </w:rPr>
      </w:pPr>
      <w:r>
        <w:rPr>
          <w:rFonts w:hint="eastAsia"/>
          <w:bCs/>
          <w:color w:val="auto"/>
          <w:sz w:val="22"/>
          <w:highlight w:val="none"/>
        </w:rPr>
        <w:t xml:space="preserve"> </w:t>
      </w:r>
      <w:r>
        <w:rPr>
          <w:bCs/>
          <w:color w:val="auto"/>
          <w:sz w:val="22"/>
          <w:highlight w:val="none"/>
        </w:rPr>
        <w:t>投标人（公章）：</w:t>
      </w:r>
    </w:p>
    <w:p w14:paraId="4631EA10">
      <w:pPr>
        <w:spacing w:line="360" w:lineRule="exact"/>
        <w:jc w:val="right"/>
        <w:rPr>
          <w:bCs/>
          <w:color w:val="auto"/>
          <w:sz w:val="22"/>
          <w:highlight w:val="none"/>
        </w:rPr>
      </w:pPr>
    </w:p>
    <w:p w14:paraId="78F45EB2">
      <w:pPr>
        <w:spacing w:line="360" w:lineRule="exact"/>
        <w:jc w:val="center"/>
        <w:rPr>
          <w:bCs/>
          <w:color w:val="auto"/>
          <w:sz w:val="22"/>
          <w:highlight w:val="none"/>
        </w:rPr>
      </w:pPr>
      <w:r>
        <w:rPr>
          <w:rFonts w:hint="eastAsia"/>
          <w:bCs/>
          <w:color w:val="auto"/>
          <w:sz w:val="22"/>
          <w:highlight w:val="none"/>
        </w:rPr>
        <w:t xml:space="preserve">                                                        </w:t>
      </w:r>
      <w:r>
        <w:rPr>
          <w:bCs/>
          <w:color w:val="auto"/>
          <w:sz w:val="22"/>
          <w:highlight w:val="none"/>
        </w:rPr>
        <w:t>日期：   年  月  日</w:t>
      </w:r>
    </w:p>
    <w:p w14:paraId="1B0A2013">
      <w:pPr>
        <w:rPr>
          <w:color w:val="auto"/>
          <w:highlight w:val="none"/>
        </w:rPr>
      </w:pPr>
    </w:p>
    <w:p w14:paraId="06F6C407">
      <w:pPr>
        <w:rPr>
          <w:rFonts w:hint="eastAsia"/>
          <w:color w:val="auto"/>
          <w:highlight w:val="none"/>
        </w:rPr>
      </w:pPr>
    </w:p>
    <w:p w14:paraId="04C94019">
      <w:pPr>
        <w:rPr>
          <w:rFonts w:hint="eastAsia" w:ascii="宋体" w:hAnsi="宋体" w:cs="宋体"/>
          <w:color w:val="auto"/>
          <w:sz w:val="22"/>
          <w:szCs w:val="24"/>
          <w:highlight w:val="none"/>
        </w:rPr>
      </w:pPr>
      <w:r>
        <w:rPr>
          <w:rFonts w:hint="eastAsia" w:ascii="宋体" w:hAnsi="宋体" w:cs="宋体"/>
          <w:color w:val="auto"/>
          <w:sz w:val="22"/>
          <w:szCs w:val="24"/>
          <w:highlight w:val="none"/>
        </w:rPr>
        <w:t>(注：按要求填写，不得更改承诺内容)</w:t>
      </w:r>
    </w:p>
    <w:p w14:paraId="6E906B56">
      <w:pPr>
        <w:rPr>
          <w:rFonts w:hint="eastAsia" w:ascii="宋体" w:hAnsi="宋体" w:cs="宋体"/>
          <w:color w:val="auto"/>
          <w:sz w:val="22"/>
          <w:szCs w:val="24"/>
          <w:highlight w:val="none"/>
        </w:rPr>
      </w:pPr>
    </w:p>
    <w:p w14:paraId="1549A627">
      <w:pPr>
        <w:rPr>
          <w:rFonts w:hint="eastAsia" w:ascii="宋体" w:hAnsi="宋体" w:cs="宋体"/>
          <w:color w:val="auto"/>
          <w:sz w:val="22"/>
          <w:szCs w:val="24"/>
          <w:highlight w:val="none"/>
        </w:rPr>
      </w:pPr>
    </w:p>
    <w:p w14:paraId="208B0A9E">
      <w:pPr>
        <w:rPr>
          <w:rFonts w:hint="eastAsia" w:ascii="宋体" w:hAnsi="宋体" w:cs="宋体"/>
          <w:color w:val="auto"/>
          <w:sz w:val="22"/>
          <w:szCs w:val="24"/>
          <w:highlight w:val="none"/>
        </w:rPr>
      </w:pPr>
    </w:p>
    <w:p w14:paraId="0E01E1D2">
      <w:pPr>
        <w:rPr>
          <w:rFonts w:hint="eastAsia" w:ascii="宋体" w:hAnsi="宋体" w:cs="宋体"/>
          <w:color w:val="auto"/>
          <w:sz w:val="22"/>
          <w:szCs w:val="24"/>
          <w:highlight w:val="none"/>
        </w:rPr>
      </w:pPr>
    </w:p>
    <w:p w14:paraId="7A1BEC0C">
      <w:pPr>
        <w:rPr>
          <w:rFonts w:hint="eastAsia" w:ascii="宋体" w:hAnsi="宋体" w:cs="宋体"/>
          <w:color w:val="auto"/>
          <w:sz w:val="22"/>
          <w:szCs w:val="24"/>
          <w:highlight w:val="none"/>
        </w:rPr>
      </w:pPr>
    </w:p>
    <w:p w14:paraId="193B254B">
      <w:pPr>
        <w:rPr>
          <w:rFonts w:hint="eastAsia" w:ascii="宋体" w:hAnsi="宋体" w:cs="宋体"/>
          <w:color w:val="auto"/>
          <w:sz w:val="22"/>
          <w:szCs w:val="24"/>
          <w:highlight w:val="none"/>
        </w:rPr>
      </w:pPr>
    </w:p>
    <w:p w14:paraId="2E8CFCB0">
      <w:pPr>
        <w:rPr>
          <w:rFonts w:hint="eastAsia" w:ascii="宋体" w:hAnsi="宋体" w:cs="宋体"/>
          <w:color w:val="auto"/>
          <w:sz w:val="22"/>
          <w:szCs w:val="24"/>
          <w:highlight w:val="none"/>
        </w:rPr>
      </w:pPr>
    </w:p>
    <w:p w14:paraId="321D8654">
      <w:pPr>
        <w:rPr>
          <w:rFonts w:hint="eastAsia" w:ascii="宋体" w:hAnsi="宋体" w:cs="宋体"/>
          <w:color w:val="auto"/>
          <w:sz w:val="22"/>
          <w:szCs w:val="24"/>
          <w:highlight w:val="none"/>
        </w:rPr>
      </w:pPr>
    </w:p>
    <w:p w14:paraId="45876DB8">
      <w:pPr>
        <w:rPr>
          <w:rFonts w:hint="eastAsia" w:ascii="宋体" w:hAnsi="宋体" w:cs="宋体"/>
          <w:color w:val="auto"/>
          <w:sz w:val="22"/>
          <w:szCs w:val="24"/>
          <w:highlight w:val="none"/>
        </w:rPr>
      </w:pPr>
    </w:p>
    <w:p w14:paraId="3BA3507B">
      <w:pPr>
        <w:rPr>
          <w:rFonts w:hint="eastAsia" w:ascii="宋体" w:hAnsi="宋体" w:cs="宋体"/>
          <w:color w:val="auto"/>
          <w:sz w:val="22"/>
          <w:szCs w:val="24"/>
          <w:highlight w:val="none"/>
        </w:rPr>
      </w:pPr>
    </w:p>
    <w:p w14:paraId="54260858">
      <w:pPr>
        <w:rPr>
          <w:rFonts w:hint="eastAsia" w:ascii="宋体" w:hAnsi="宋体" w:cs="宋体"/>
          <w:color w:val="auto"/>
          <w:sz w:val="22"/>
          <w:szCs w:val="24"/>
          <w:highlight w:val="none"/>
        </w:rPr>
      </w:pPr>
    </w:p>
    <w:p w14:paraId="621BDA18">
      <w:pPr>
        <w:rPr>
          <w:rFonts w:hint="eastAsia" w:ascii="宋体" w:hAnsi="宋体" w:cs="宋体"/>
          <w:color w:val="auto"/>
          <w:sz w:val="22"/>
          <w:szCs w:val="24"/>
          <w:highlight w:val="none"/>
        </w:rPr>
      </w:pPr>
    </w:p>
    <w:p w14:paraId="16E42F26">
      <w:pPr>
        <w:rPr>
          <w:rFonts w:hint="eastAsia" w:ascii="宋体" w:hAnsi="宋体" w:cs="宋体"/>
          <w:color w:val="auto"/>
          <w:sz w:val="22"/>
          <w:szCs w:val="24"/>
          <w:highlight w:val="none"/>
        </w:rPr>
      </w:pPr>
    </w:p>
    <w:p w14:paraId="46787AE4">
      <w:pPr>
        <w:rPr>
          <w:rFonts w:hint="eastAsia" w:ascii="宋体" w:hAnsi="宋体" w:cs="宋体"/>
          <w:color w:val="auto"/>
          <w:sz w:val="22"/>
          <w:szCs w:val="24"/>
          <w:highlight w:val="none"/>
        </w:rPr>
      </w:pPr>
    </w:p>
    <w:p w14:paraId="31FB1505">
      <w:pPr>
        <w:rPr>
          <w:rFonts w:hint="eastAsia" w:ascii="宋体" w:hAnsi="宋体" w:cs="宋体"/>
          <w:color w:val="auto"/>
          <w:sz w:val="22"/>
          <w:szCs w:val="24"/>
          <w:highlight w:val="none"/>
        </w:rPr>
      </w:pPr>
    </w:p>
    <w:p w14:paraId="3AF7D8F1">
      <w:pPr>
        <w:rPr>
          <w:rFonts w:hint="eastAsia" w:ascii="宋体" w:hAnsi="宋体" w:cs="宋体"/>
          <w:color w:val="auto"/>
          <w:sz w:val="22"/>
          <w:szCs w:val="24"/>
          <w:highlight w:val="none"/>
        </w:rPr>
      </w:pPr>
    </w:p>
    <w:p w14:paraId="602F1FF2">
      <w:pPr>
        <w:rPr>
          <w:rFonts w:hint="eastAsia" w:ascii="宋体" w:hAnsi="宋体" w:cs="宋体"/>
          <w:color w:val="auto"/>
          <w:sz w:val="22"/>
          <w:szCs w:val="24"/>
          <w:highlight w:val="none"/>
        </w:rPr>
      </w:pPr>
    </w:p>
    <w:p w14:paraId="4CEFF265">
      <w:pPr>
        <w:rPr>
          <w:rFonts w:hint="eastAsia" w:ascii="宋体" w:hAnsi="宋体" w:cs="宋体"/>
          <w:color w:val="auto"/>
          <w:sz w:val="22"/>
          <w:szCs w:val="24"/>
          <w:highlight w:val="none"/>
        </w:rPr>
      </w:pPr>
    </w:p>
    <w:p w14:paraId="4455E623">
      <w:pPr>
        <w:rPr>
          <w:rFonts w:hint="eastAsia" w:ascii="宋体" w:hAnsi="宋体" w:cs="宋体"/>
          <w:color w:val="auto"/>
          <w:sz w:val="22"/>
          <w:szCs w:val="24"/>
          <w:highlight w:val="none"/>
        </w:rPr>
      </w:pPr>
    </w:p>
    <w:p w14:paraId="37DFB9CC">
      <w:pPr>
        <w:numPr>
          <w:ilvl w:val="0"/>
          <w:numId w:val="0"/>
        </w:numPr>
        <w:tabs>
          <w:tab w:val="left" w:pos="0"/>
        </w:tabs>
        <w:ind w:left="0" w:leftChars="0" w:firstLine="397" w:firstLineChars="0"/>
        <w:jc w:val="center"/>
        <w:outlineLvl w:val="2"/>
        <w:rPr>
          <w:rFonts w:hint="eastAsia"/>
          <w:b/>
          <w:bCs/>
          <w:color w:val="auto"/>
          <w:kern w:val="0"/>
          <w:sz w:val="28"/>
          <w:szCs w:val="32"/>
          <w:highlight w:val="none"/>
        </w:rPr>
      </w:pPr>
      <w:r>
        <w:rPr>
          <w:rFonts w:hint="eastAsia" w:ascii="宋体" w:hAnsi="宋体" w:eastAsia="宋体" w:cs="宋体"/>
          <w:b/>
          <w:bCs/>
          <w:color w:val="auto"/>
          <w:kern w:val="0"/>
          <w:sz w:val="32"/>
          <w:szCs w:val="32"/>
          <w:highlight w:val="none"/>
          <w:lang w:val="en-US" w:eastAsia="zh-CN" w:bidi="ar-SA"/>
        </w:rPr>
        <w:t>九、</w:t>
      </w:r>
      <w:r>
        <w:rPr>
          <w:rFonts w:hint="eastAsia"/>
          <w:b/>
          <w:bCs/>
          <w:color w:val="auto"/>
          <w:kern w:val="0"/>
          <w:sz w:val="32"/>
          <w:szCs w:val="32"/>
          <w:highlight w:val="none"/>
        </w:rPr>
        <w:t>报价清单表</w:t>
      </w:r>
    </w:p>
    <w:p w14:paraId="64C3F00A">
      <w:pPr>
        <w:pStyle w:val="3"/>
        <w:numPr>
          <w:ilvl w:val="0"/>
          <w:numId w:val="8"/>
        </w:numPr>
        <w:rPr>
          <w:color w:val="auto"/>
          <w:highlight w:val="none"/>
        </w:rPr>
      </w:pPr>
      <w:r>
        <w:rPr>
          <w:rFonts w:hint="eastAsia"/>
          <w:color w:val="auto"/>
          <w:highlight w:val="none"/>
        </w:rPr>
        <w:t>开标一览表</w:t>
      </w:r>
    </w:p>
    <w:tbl>
      <w:tblPr>
        <w:tblStyle w:val="4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4"/>
        <w:gridCol w:w="3083"/>
        <w:gridCol w:w="3683"/>
      </w:tblGrid>
      <w:tr w14:paraId="1847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029" w:type="pct"/>
            <w:vAlign w:val="center"/>
          </w:tcPr>
          <w:p w14:paraId="4CEF5C77">
            <w:pPr>
              <w:spacing w:line="360" w:lineRule="exact"/>
              <w:jc w:val="center"/>
              <w:rPr>
                <w:snapToGrid w:val="0"/>
                <w:color w:val="auto"/>
                <w:kern w:val="0"/>
                <w:sz w:val="22"/>
                <w:highlight w:val="none"/>
              </w:rPr>
            </w:pPr>
            <w:r>
              <w:rPr>
                <w:bCs/>
                <w:snapToGrid w:val="0"/>
                <w:color w:val="auto"/>
                <w:kern w:val="0"/>
                <w:sz w:val="22"/>
                <w:highlight w:val="none"/>
              </w:rPr>
              <w:t>项目编号</w:t>
            </w:r>
          </w:p>
        </w:tc>
        <w:tc>
          <w:tcPr>
            <w:tcW w:w="1809" w:type="pct"/>
            <w:vAlign w:val="center"/>
          </w:tcPr>
          <w:p w14:paraId="48E47CE6">
            <w:pPr>
              <w:spacing w:line="360" w:lineRule="exact"/>
              <w:jc w:val="center"/>
              <w:rPr>
                <w:snapToGrid w:val="0"/>
                <w:color w:val="auto"/>
                <w:kern w:val="0"/>
                <w:sz w:val="22"/>
                <w:highlight w:val="none"/>
              </w:rPr>
            </w:pPr>
            <w:r>
              <w:rPr>
                <w:snapToGrid w:val="0"/>
                <w:color w:val="auto"/>
                <w:kern w:val="0"/>
                <w:sz w:val="22"/>
                <w:highlight w:val="none"/>
              </w:rPr>
              <w:t>项目名称</w:t>
            </w:r>
          </w:p>
        </w:tc>
        <w:tc>
          <w:tcPr>
            <w:tcW w:w="2161" w:type="pct"/>
            <w:vAlign w:val="center"/>
          </w:tcPr>
          <w:p w14:paraId="56988BE3">
            <w:pPr>
              <w:spacing w:line="360" w:lineRule="exact"/>
              <w:jc w:val="center"/>
              <w:rPr>
                <w:snapToGrid w:val="0"/>
                <w:color w:val="auto"/>
                <w:kern w:val="0"/>
                <w:sz w:val="22"/>
                <w:highlight w:val="none"/>
              </w:rPr>
            </w:pPr>
            <w:r>
              <w:rPr>
                <w:snapToGrid w:val="0"/>
                <w:color w:val="auto"/>
                <w:kern w:val="0"/>
                <w:sz w:val="22"/>
                <w:highlight w:val="none"/>
              </w:rPr>
              <w:t>投标报价（元）</w:t>
            </w:r>
          </w:p>
        </w:tc>
      </w:tr>
      <w:tr w14:paraId="4746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029" w:type="pct"/>
            <w:vAlign w:val="center"/>
          </w:tcPr>
          <w:p w14:paraId="16048F82">
            <w:pPr>
              <w:spacing w:line="360" w:lineRule="exact"/>
              <w:jc w:val="center"/>
              <w:rPr>
                <w:snapToGrid w:val="0"/>
                <w:color w:val="auto"/>
                <w:kern w:val="0"/>
                <w:sz w:val="22"/>
                <w:highlight w:val="none"/>
              </w:rPr>
            </w:pPr>
          </w:p>
        </w:tc>
        <w:tc>
          <w:tcPr>
            <w:tcW w:w="1809" w:type="pct"/>
            <w:vAlign w:val="center"/>
          </w:tcPr>
          <w:p w14:paraId="41E08D66">
            <w:pPr>
              <w:widowControl/>
              <w:spacing w:line="360" w:lineRule="exact"/>
              <w:jc w:val="center"/>
              <w:rPr>
                <w:color w:val="auto"/>
                <w:kern w:val="0"/>
                <w:sz w:val="22"/>
                <w:highlight w:val="none"/>
              </w:rPr>
            </w:pPr>
          </w:p>
        </w:tc>
        <w:tc>
          <w:tcPr>
            <w:tcW w:w="2161" w:type="pct"/>
            <w:vAlign w:val="center"/>
          </w:tcPr>
          <w:p w14:paraId="7BAAA1B6">
            <w:pPr>
              <w:spacing w:line="360" w:lineRule="exact"/>
              <w:rPr>
                <w:snapToGrid w:val="0"/>
                <w:color w:val="auto"/>
                <w:kern w:val="0"/>
                <w:sz w:val="22"/>
                <w:highlight w:val="none"/>
              </w:rPr>
            </w:pPr>
            <w:r>
              <w:rPr>
                <w:snapToGrid w:val="0"/>
                <w:color w:val="auto"/>
                <w:kern w:val="0"/>
                <w:sz w:val="22"/>
                <w:highlight w:val="none"/>
              </w:rPr>
              <w:t>大写：</w:t>
            </w:r>
          </w:p>
          <w:p w14:paraId="654E430C">
            <w:pPr>
              <w:spacing w:line="360" w:lineRule="exact"/>
              <w:rPr>
                <w:snapToGrid w:val="0"/>
                <w:color w:val="auto"/>
                <w:kern w:val="0"/>
                <w:sz w:val="22"/>
                <w:highlight w:val="none"/>
              </w:rPr>
            </w:pPr>
            <w:r>
              <w:rPr>
                <w:snapToGrid w:val="0"/>
                <w:color w:val="auto"/>
                <w:kern w:val="0"/>
                <w:sz w:val="22"/>
                <w:highlight w:val="none"/>
              </w:rPr>
              <w:t>小写：</w:t>
            </w:r>
          </w:p>
        </w:tc>
      </w:tr>
    </w:tbl>
    <w:p w14:paraId="15F10378">
      <w:pPr>
        <w:spacing w:line="360" w:lineRule="exact"/>
        <w:rPr>
          <w:snapToGrid w:val="0"/>
          <w:color w:val="auto"/>
          <w:kern w:val="0"/>
          <w:sz w:val="22"/>
          <w:highlight w:val="none"/>
        </w:rPr>
      </w:pPr>
    </w:p>
    <w:p w14:paraId="0735FA96">
      <w:pPr>
        <w:spacing w:line="360" w:lineRule="exact"/>
        <w:ind w:right="2100" w:rightChars="1000"/>
        <w:jc w:val="right"/>
        <w:rPr>
          <w:snapToGrid w:val="0"/>
          <w:color w:val="auto"/>
          <w:kern w:val="0"/>
          <w:sz w:val="22"/>
          <w:highlight w:val="none"/>
        </w:rPr>
      </w:pPr>
    </w:p>
    <w:p w14:paraId="66F7E7E4">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lang w:val="zh-CN"/>
        </w:rPr>
        <w:t>法定代表人（</w:t>
      </w:r>
      <w:r>
        <w:rPr>
          <w:rFonts w:hint="eastAsia" w:ascii="宋体" w:hAnsi="宋体" w:cs="宋体"/>
          <w:snapToGrid w:val="0"/>
          <w:color w:val="auto"/>
          <w:kern w:val="0"/>
          <w:sz w:val="22"/>
          <w:szCs w:val="24"/>
          <w:highlight w:val="none"/>
        </w:rPr>
        <w:t>单位负责人</w:t>
      </w:r>
      <w:r>
        <w:rPr>
          <w:rFonts w:hint="eastAsia" w:ascii="宋体" w:hAnsi="宋体" w:cs="宋体"/>
          <w:snapToGrid w:val="0"/>
          <w:color w:val="auto"/>
          <w:kern w:val="0"/>
          <w:sz w:val="22"/>
          <w:szCs w:val="24"/>
          <w:highlight w:val="none"/>
          <w:lang w:val="zh-CN"/>
        </w:rPr>
        <w:t>）或其授权代表（签字</w:t>
      </w:r>
      <w:r>
        <w:rPr>
          <w:rFonts w:hint="eastAsia" w:ascii="宋体" w:hAnsi="宋体" w:cs="宋体"/>
          <w:snapToGrid w:val="0"/>
          <w:color w:val="auto"/>
          <w:kern w:val="0"/>
          <w:sz w:val="22"/>
          <w:szCs w:val="24"/>
          <w:highlight w:val="none"/>
        </w:rPr>
        <w:t>或盖章</w:t>
      </w:r>
      <w:r>
        <w:rPr>
          <w:rFonts w:hint="eastAsia" w:ascii="宋体" w:hAnsi="宋体" w:cs="宋体"/>
          <w:snapToGrid w:val="0"/>
          <w:color w:val="auto"/>
          <w:kern w:val="0"/>
          <w:sz w:val="22"/>
          <w:szCs w:val="24"/>
          <w:highlight w:val="none"/>
          <w:lang w:val="zh-CN"/>
        </w:rPr>
        <w:t>）</w:t>
      </w:r>
      <w:r>
        <w:rPr>
          <w:rFonts w:hint="eastAsia" w:ascii="宋体" w:hAnsi="宋体" w:cs="宋体"/>
          <w:snapToGrid w:val="0"/>
          <w:color w:val="auto"/>
          <w:kern w:val="0"/>
          <w:sz w:val="22"/>
          <w:szCs w:val="24"/>
          <w:highlight w:val="none"/>
        </w:rPr>
        <w:t xml:space="preserve">：                   </w:t>
      </w:r>
    </w:p>
    <w:p w14:paraId="5F7AA681">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投标人名称（盖章）：                        </w:t>
      </w:r>
    </w:p>
    <w:p w14:paraId="510BA964">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日期：   年   月   日</w:t>
      </w:r>
    </w:p>
    <w:p w14:paraId="063975EF">
      <w:pPr>
        <w:pStyle w:val="3"/>
        <w:numPr>
          <w:ilvl w:val="0"/>
          <w:numId w:val="8"/>
        </w:numPr>
        <w:rPr>
          <w:b w:val="0"/>
          <w:color w:val="auto"/>
          <w:sz w:val="22"/>
          <w:highlight w:val="none"/>
        </w:rPr>
      </w:pPr>
      <w:r>
        <w:rPr>
          <w:b w:val="0"/>
          <w:color w:val="auto"/>
          <w:sz w:val="22"/>
          <w:highlight w:val="none"/>
        </w:rPr>
        <w:br w:type="page"/>
      </w:r>
      <w:r>
        <w:rPr>
          <w:rFonts w:hint="eastAsia"/>
          <w:color w:val="auto"/>
          <w:highlight w:val="none"/>
        </w:rPr>
        <w:t>分项报价表</w:t>
      </w:r>
    </w:p>
    <w:tbl>
      <w:tblPr>
        <w:tblStyle w:val="4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1024"/>
        <w:gridCol w:w="855"/>
        <w:gridCol w:w="934"/>
        <w:gridCol w:w="835"/>
        <w:gridCol w:w="651"/>
        <w:gridCol w:w="693"/>
        <w:gridCol w:w="581"/>
        <w:gridCol w:w="693"/>
        <w:gridCol w:w="644"/>
        <w:gridCol w:w="1098"/>
      </w:tblGrid>
      <w:tr w14:paraId="566B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 w:type="pct"/>
            <w:vAlign w:val="center"/>
          </w:tcPr>
          <w:p w14:paraId="4C1155AF">
            <w:pPr>
              <w:spacing w:line="360" w:lineRule="exact"/>
              <w:jc w:val="center"/>
              <w:rPr>
                <w:color w:val="auto"/>
                <w:sz w:val="22"/>
                <w:highlight w:val="none"/>
              </w:rPr>
            </w:pPr>
            <w:r>
              <w:rPr>
                <w:color w:val="auto"/>
                <w:sz w:val="22"/>
                <w:highlight w:val="none"/>
              </w:rPr>
              <w:t>序号</w:t>
            </w:r>
          </w:p>
        </w:tc>
        <w:tc>
          <w:tcPr>
            <w:tcW w:w="601" w:type="pct"/>
            <w:vAlign w:val="center"/>
          </w:tcPr>
          <w:p w14:paraId="30EA3124">
            <w:pPr>
              <w:spacing w:line="360" w:lineRule="exact"/>
              <w:jc w:val="center"/>
              <w:rPr>
                <w:color w:val="auto"/>
                <w:sz w:val="22"/>
                <w:highlight w:val="none"/>
              </w:rPr>
            </w:pPr>
            <w:r>
              <w:rPr>
                <w:color w:val="auto"/>
                <w:sz w:val="22"/>
                <w:highlight w:val="none"/>
              </w:rPr>
              <w:t>采购计划编号</w:t>
            </w:r>
          </w:p>
        </w:tc>
        <w:tc>
          <w:tcPr>
            <w:tcW w:w="502" w:type="pct"/>
            <w:vAlign w:val="center"/>
          </w:tcPr>
          <w:p w14:paraId="07FB9A5C">
            <w:pPr>
              <w:spacing w:line="360" w:lineRule="exact"/>
              <w:jc w:val="center"/>
              <w:rPr>
                <w:color w:val="auto"/>
                <w:sz w:val="22"/>
                <w:highlight w:val="none"/>
              </w:rPr>
            </w:pPr>
            <w:r>
              <w:rPr>
                <w:color w:val="auto"/>
                <w:sz w:val="22"/>
                <w:highlight w:val="none"/>
              </w:rPr>
              <w:t>货物名称</w:t>
            </w:r>
          </w:p>
        </w:tc>
        <w:tc>
          <w:tcPr>
            <w:tcW w:w="548" w:type="pct"/>
            <w:vAlign w:val="center"/>
          </w:tcPr>
          <w:p w14:paraId="37CD1D20">
            <w:pPr>
              <w:spacing w:line="360" w:lineRule="exact"/>
              <w:jc w:val="center"/>
              <w:rPr>
                <w:color w:val="auto"/>
                <w:sz w:val="22"/>
                <w:highlight w:val="none"/>
              </w:rPr>
            </w:pPr>
            <w:r>
              <w:rPr>
                <w:color w:val="auto"/>
                <w:sz w:val="22"/>
                <w:highlight w:val="none"/>
              </w:rPr>
              <w:t>规格及型号</w:t>
            </w:r>
          </w:p>
        </w:tc>
        <w:tc>
          <w:tcPr>
            <w:tcW w:w="490" w:type="pct"/>
            <w:vAlign w:val="center"/>
          </w:tcPr>
          <w:p w14:paraId="0AADDBD3">
            <w:pPr>
              <w:spacing w:line="360" w:lineRule="exact"/>
              <w:jc w:val="center"/>
              <w:rPr>
                <w:color w:val="auto"/>
                <w:sz w:val="22"/>
                <w:highlight w:val="none"/>
              </w:rPr>
            </w:pPr>
            <w:r>
              <w:rPr>
                <w:color w:val="auto"/>
                <w:sz w:val="22"/>
                <w:highlight w:val="none"/>
              </w:rPr>
              <w:t>原产地</w:t>
            </w:r>
          </w:p>
        </w:tc>
        <w:tc>
          <w:tcPr>
            <w:tcW w:w="382" w:type="pct"/>
            <w:vAlign w:val="center"/>
          </w:tcPr>
          <w:p w14:paraId="7A17BAC6">
            <w:pPr>
              <w:spacing w:line="360" w:lineRule="exact"/>
              <w:jc w:val="center"/>
              <w:rPr>
                <w:color w:val="auto"/>
                <w:sz w:val="22"/>
                <w:highlight w:val="none"/>
              </w:rPr>
            </w:pPr>
            <w:r>
              <w:rPr>
                <w:color w:val="auto"/>
                <w:sz w:val="22"/>
                <w:highlight w:val="none"/>
              </w:rPr>
              <w:t>品牌</w:t>
            </w:r>
          </w:p>
        </w:tc>
        <w:tc>
          <w:tcPr>
            <w:tcW w:w="407" w:type="pct"/>
            <w:vAlign w:val="center"/>
          </w:tcPr>
          <w:p w14:paraId="64B511C5">
            <w:pPr>
              <w:spacing w:line="360" w:lineRule="exact"/>
              <w:jc w:val="center"/>
              <w:rPr>
                <w:color w:val="auto"/>
                <w:sz w:val="22"/>
                <w:highlight w:val="none"/>
              </w:rPr>
            </w:pPr>
            <w:r>
              <w:rPr>
                <w:color w:val="auto"/>
                <w:sz w:val="22"/>
                <w:highlight w:val="none"/>
              </w:rPr>
              <w:t>数量</w:t>
            </w:r>
          </w:p>
        </w:tc>
        <w:tc>
          <w:tcPr>
            <w:tcW w:w="341" w:type="pct"/>
            <w:vAlign w:val="center"/>
          </w:tcPr>
          <w:p w14:paraId="26312B82">
            <w:pPr>
              <w:spacing w:line="360" w:lineRule="exact"/>
              <w:jc w:val="center"/>
              <w:rPr>
                <w:color w:val="auto"/>
                <w:sz w:val="22"/>
                <w:highlight w:val="none"/>
              </w:rPr>
            </w:pPr>
            <w:r>
              <w:rPr>
                <w:color w:val="auto"/>
                <w:sz w:val="22"/>
                <w:highlight w:val="none"/>
              </w:rPr>
              <w:t>单位</w:t>
            </w:r>
          </w:p>
        </w:tc>
        <w:tc>
          <w:tcPr>
            <w:tcW w:w="407" w:type="pct"/>
            <w:vAlign w:val="center"/>
          </w:tcPr>
          <w:p w14:paraId="55857522">
            <w:pPr>
              <w:spacing w:line="360" w:lineRule="exact"/>
              <w:jc w:val="center"/>
              <w:rPr>
                <w:color w:val="auto"/>
                <w:sz w:val="22"/>
                <w:highlight w:val="none"/>
              </w:rPr>
            </w:pPr>
            <w:r>
              <w:rPr>
                <w:color w:val="auto"/>
                <w:sz w:val="22"/>
                <w:highlight w:val="none"/>
              </w:rPr>
              <w:t>单价(元)</w:t>
            </w:r>
          </w:p>
        </w:tc>
        <w:tc>
          <w:tcPr>
            <w:tcW w:w="373" w:type="pct"/>
            <w:vAlign w:val="center"/>
          </w:tcPr>
          <w:p w14:paraId="57AA3EFE">
            <w:pPr>
              <w:spacing w:line="360" w:lineRule="exact"/>
              <w:jc w:val="center"/>
              <w:rPr>
                <w:color w:val="auto"/>
                <w:sz w:val="22"/>
                <w:highlight w:val="none"/>
              </w:rPr>
            </w:pPr>
            <w:r>
              <w:rPr>
                <w:color w:val="auto"/>
                <w:sz w:val="22"/>
                <w:highlight w:val="none"/>
              </w:rPr>
              <w:t>合价(元)</w:t>
            </w:r>
          </w:p>
        </w:tc>
        <w:tc>
          <w:tcPr>
            <w:tcW w:w="644" w:type="pct"/>
            <w:vAlign w:val="center"/>
          </w:tcPr>
          <w:p w14:paraId="0AC86844">
            <w:pPr>
              <w:spacing w:line="360" w:lineRule="exact"/>
              <w:jc w:val="center"/>
              <w:rPr>
                <w:color w:val="auto"/>
                <w:sz w:val="22"/>
                <w:highlight w:val="none"/>
              </w:rPr>
            </w:pPr>
            <w:r>
              <w:rPr>
                <w:color w:val="auto"/>
                <w:sz w:val="22"/>
                <w:highlight w:val="none"/>
              </w:rPr>
              <w:t>财政预算限额（元）</w:t>
            </w:r>
          </w:p>
        </w:tc>
      </w:tr>
      <w:tr w14:paraId="0A98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 w:type="pct"/>
          </w:tcPr>
          <w:p w14:paraId="082A3E15">
            <w:pPr>
              <w:spacing w:line="360" w:lineRule="exact"/>
              <w:rPr>
                <w:color w:val="auto"/>
                <w:sz w:val="22"/>
                <w:highlight w:val="none"/>
              </w:rPr>
            </w:pPr>
          </w:p>
        </w:tc>
        <w:tc>
          <w:tcPr>
            <w:tcW w:w="601" w:type="pct"/>
          </w:tcPr>
          <w:p w14:paraId="20423BED">
            <w:pPr>
              <w:spacing w:line="360" w:lineRule="exact"/>
              <w:rPr>
                <w:color w:val="auto"/>
                <w:sz w:val="22"/>
                <w:highlight w:val="none"/>
              </w:rPr>
            </w:pPr>
          </w:p>
        </w:tc>
        <w:tc>
          <w:tcPr>
            <w:tcW w:w="502" w:type="pct"/>
          </w:tcPr>
          <w:p w14:paraId="1CCD9DEA">
            <w:pPr>
              <w:spacing w:line="360" w:lineRule="exact"/>
              <w:rPr>
                <w:color w:val="auto"/>
                <w:sz w:val="22"/>
                <w:highlight w:val="none"/>
              </w:rPr>
            </w:pPr>
          </w:p>
        </w:tc>
        <w:tc>
          <w:tcPr>
            <w:tcW w:w="548" w:type="pct"/>
          </w:tcPr>
          <w:p w14:paraId="7586B41D">
            <w:pPr>
              <w:spacing w:line="360" w:lineRule="exact"/>
              <w:rPr>
                <w:color w:val="auto"/>
                <w:sz w:val="22"/>
                <w:highlight w:val="none"/>
              </w:rPr>
            </w:pPr>
          </w:p>
        </w:tc>
        <w:tc>
          <w:tcPr>
            <w:tcW w:w="490" w:type="pct"/>
          </w:tcPr>
          <w:p w14:paraId="734A9892">
            <w:pPr>
              <w:spacing w:line="360" w:lineRule="exact"/>
              <w:rPr>
                <w:color w:val="auto"/>
                <w:sz w:val="22"/>
                <w:highlight w:val="none"/>
              </w:rPr>
            </w:pPr>
          </w:p>
        </w:tc>
        <w:tc>
          <w:tcPr>
            <w:tcW w:w="382" w:type="pct"/>
          </w:tcPr>
          <w:p w14:paraId="0584499E">
            <w:pPr>
              <w:spacing w:line="360" w:lineRule="exact"/>
              <w:rPr>
                <w:color w:val="auto"/>
                <w:sz w:val="22"/>
                <w:highlight w:val="none"/>
              </w:rPr>
            </w:pPr>
          </w:p>
        </w:tc>
        <w:tc>
          <w:tcPr>
            <w:tcW w:w="407" w:type="pct"/>
          </w:tcPr>
          <w:p w14:paraId="602C52F9">
            <w:pPr>
              <w:spacing w:line="360" w:lineRule="exact"/>
              <w:rPr>
                <w:color w:val="auto"/>
                <w:sz w:val="22"/>
                <w:highlight w:val="none"/>
              </w:rPr>
            </w:pPr>
          </w:p>
        </w:tc>
        <w:tc>
          <w:tcPr>
            <w:tcW w:w="341" w:type="pct"/>
          </w:tcPr>
          <w:p w14:paraId="3916C111">
            <w:pPr>
              <w:spacing w:line="360" w:lineRule="exact"/>
              <w:rPr>
                <w:color w:val="auto"/>
                <w:sz w:val="22"/>
                <w:highlight w:val="none"/>
              </w:rPr>
            </w:pPr>
          </w:p>
        </w:tc>
        <w:tc>
          <w:tcPr>
            <w:tcW w:w="407" w:type="pct"/>
          </w:tcPr>
          <w:p w14:paraId="4C54C70C">
            <w:pPr>
              <w:spacing w:line="360" w:lineRule="exact"/>
              <w:rPr>
                <w:color w:val="auto"/>
                <w:sz w:val="22"/>
                <w:highlight w:val="none"/>
              </w:rPr>
            </w:pPr>
          </w:p>
        </w:tc>
        <w:tc>
          <w:tcPr>
            <w:tcW w:w="373" w:type="pct"/>
          </w:tcPr>
          <w:p w14:paraId="02C35CCF">
            <w:pPr>
              <w:spacing w:line="360" w:lineRule="exact"/>
              <w:rPr>
                <w:color w:val="auto"/>
                <w:sz w:val="22"/>
                <w:highlight w:val="none"/>
              </w:rPr>
            </w:pPr>
          </w:p>
        </w:tc>
        <w:tc>
          <w:tcPr>
            <w:tcW w:w="644" w:type="pct"/>
          </w:tcPr>
          <w:p w14:paraId="04DF41FE">
            <w:pPr>
              <w:spacing w:line="360" w:lineRule="exact"/>
              <w:rPr>
                <w:color w:val="auto"/>
                <w:sz w:val="22"/>
                <w:highlight w:val="none"/>
              </w:rPr>
            </w:pPr>
          </w:p>
        </w:tc>
      </w:tr>
      <w:tr w14:paraId="5096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 w:type="pct"/>
          </w:tcPr>
          <w:p w14:paraId="6074DC80">
            <w:pPr>
              <w:spacing w:line="360" w:lineRule="exact"/>
              <w:rPr>
                <w:color w:val="auto"/>
                <w:sz w:val="22"/>
                <w:highlight w:val="none"/>
              </w:rPr>
            </w:pPr>
          </w:p>
        </w:tc>
        <w:tc>
          <w:tcPr>
            <w:tcW w:w="601" w:type="pct"/>
          </w:tcPr>
          <w:p w14:paraId="48FAE70A">
            <w:pPr>
              <w:spacing w:line="360" w:lineRule="exact"/>
              <w:rPr>
                <w:color w:val="auto"/>
                <w:sz w:val="22"/>
                <w:highlight w:val="none"/>
              </w:rPr>
            </w:pPr>
          </w:p>
        </w:tc>
        <w:tc>
          <w:tcPr>
            <w:tcW w:w="502" w:type="pct"/>
          </w:tcPr>
          <w:p w14:paraId="4AC273D4">
            <w:pPr>
              <w:spacing w:line="360" w:lineRule="exact"/>
              <w:rPr>
                <w:color w:val="auto"/>
                <w:sz w:val="22"/>
                <w:highlight w:val="none"/>
              </w:rPr>
            </w:pPr>
          </w:p>
        </w:tc>
        <w:tc>
          <w:tcPr>
            <w:tcW w:w="548" w:type="pct"/>
          </w:tcPr>
          <w:p w14:paraId="04529AB3">
            <w:pPr>
              <w:spacing w:line="360" w:lineRule="exact"/>
              <w:rPr>
                <w:color w:val="auto"/>
                <w:sz w:val="22"/>
                <w:highlight w:val="none"/>
              </w:rPr>
            </w:pPr>
          </w:p>
        </w:tc>
        <w:tc>
          <w:tcPr>
            <w:tcW w:w="490" w:type="pct"/>
          </w:tcPr>
          <w:p w14:paraId="6036A127">
            <w:pPr>
              <w:spacing w:line="360" w:lineRule="exact"/>
              <w:rPr>
                <w:color w:val="auto"/>
                <w:sz w:val="22"/>
                <w:highlight w:val="none"/>
              </w:rPr>
            </w:pPr>
          </w:p>
        </w:tc>
        <w:tc>
          <w:tcPr>
            <w:tcW w:w="382" w:type="pct"/>
          </w:tcPr>
          <w:p w14:paraId="1A6A2FAF">
            <w:pPr>
              <w:spacing w:line="360" w:lineRule="exact"/>
              <w:rPr>
                <w:color w:val="auto"/>
                <w:sz w:val="22"/>
                <w:highlight w:val="none"/>
              </w:rPr>
            </w:pPr>
          </w:p>
        </w:tc>
        <w:tc>
          <w:tcPr>
            <w:tcW w:w="407" w:type="pct"/>
          </w:tcPr>
          <w:p w14:paraId="565EF1F8">
            <w:pPr>
              <w:spacing w:line="360" w:lineRule="exact"/>
              <w:rPr>
                <w:color w:val="auto"/>
                <w:sz w:val="22"/>
                <w:highlight w:val="none"/>
              </w:rPr>
            </w:pPr>
          </w:p>
        </w:tc>
        <w:tc>
          <w:tcPr>
            <w:tcW w:w="341" w:type="pct"/>
          </w:tcPr>
          <w:p w14:paraId="3A49785C">
            <w:pPr>
              <w:spacing w:line="360" w:lineRule="exact"/>
              <w:rPr>
                <w:color w:val="auto"/>
                <w:sz w:val="22"/>
                <w:highlight w:val="none"/>
              </w:rPr>
            </w:pPr>
          </w:p>
        </w:tc>
        <w:tc>
          <w:tcPr>
            <w:tcW w:w="407" w:type="pct"/>
          </w:tcPr>
          <w:p w14:paraId="4EE36512">
            <w:pPr>
              <w:spacing w:line="360" w:lineRule="exact"/>
              <w:rPr>
                <w:color w:val="auto"/>
                <w:sz w:val="22"/>
                <w:highlight w:val="none"/>
              </w:rPr>
            </w:pPr>
          </w:p>
        </w:tc>
        <w:tc>
          <w:tcPr>
            <w:tcW w:w="373" w:type="pct"/>
          </w:tcPr>
          <w:p w14:paraId="29C03B64">
            <w:pPr>
              <w:spacing w:line="360" w:lineRule="exact"/>
              <w:rPr>
                <w:color w:val="auto"/>
                <w:sz w:val="22"/>
                <w:highlight w:val="none"/>
              </w:rPr>
            </w:pPr>
          </w:p>
        </w:tc>
        <w:tc>
          <w:tcPr>
            <w:tcW w:w="644" w:type="pct"/>
          </w:tcPr>
          <w:p w14:paraId="3F7B04C8">
            <w:pPr>
              <w:spacing w:line="360" w:lineRule="exact"/>
              <w:rPr>
                <w:color w:val="auto"/>
                <w:sz w:val="22"/>
                <w:highlight w:val="none"/>
              </w:rPr>
            </w:pPr>
          </w:p>
        </w:tc>
      </w:tr>
      <w:tr w14:paraId="7DD5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 w:type="pct"/>
          </w:tcPr>
          <w:p w14:paraId="5006F540">
            <w:pPr>
              <w:spacing w:line="360" w:lineRule="exact"/>
              <w:rPr>
                <w:color w:val="auto"/>
                <w:sz w:val="22"/>
                <w:highlight w:val="none"/>
              </w:rPr>
            </w:pPr>
          </w:p>
        </w:tc>
        <w:tc>
          <w:tcPr>
            <w:tcW w:w="601" w:type="pct"/>
          </w:tcPr>
          <w:p w14:paraId="45E65C8A">
            <w:pPr>
              <w:spacing w:line="360" w:lineRule="exact"/>
              <w:rPr>
                <w:color w:val="auto"/>
                <w:sz w:val="22"/>
                <w:highlight w:val="none"/>
              </w:rPr>
            </w:pPr>
          </w:p>
        </w:tc>
        <w:tc>
          <w:tcPr>
            <w:tcW w:w="502" w:type="pct"/>
          </w:tcPr>
          <w:p w14:paraId="4F5EA274">
            <w:pPr>
              <w:spacing w:line="360" w:lineRule="exact"/>
              <w:rPr>
                <w:color w:val="auto"/>
                <w:sz w:val="22"/>
                <w:highlight w:val="none"/>
              </w:rPr>
            </w:pPr>
          </w:p>
        </w:tc>
        <w:tc>
          <w:tcPr>
            <w:tcW w:w="548" w:type="pct"/>
          </w:tcPr>
          <w:p w14:paraId="58EBEC93">
            <w:pPr>
              <w:spacing w:line="360" w:lineRule="exact"/>
              <w:rPr>
                <w:color w:val="auto"/>
                <w:sz w:val="22"/>
                <w:highlight w:val="none"/>
              </w:rPr>
            </w:pPr>
          </w:p>
        </w:tc>
        <w:tc>
          <w:tcPr>
            <w:tcW w:w="490" w:type="pct"/>
          </w:tcPr>
          <w:p w14:paraId="6AF9BE40">
            <w:pPr>
              <w:spacing w:line="360" w:lineRule="exact"/>
              <w:rPr>
                <w:color w:val="auto"/>
                <w:sz w:val="22"/>
                <w:highlight w:val="none"/>
              </w:rPr>
            </w:pPr>
          </w:p>
        </w:tc>
        <w:tc>
          <w:tcPr>
            <w:tcW w:w="382" w:type="pct"/>
          </w:tcPr>
          <w:p w14:paraId="0B97FD22">
            <w:pPr>
              <w:spacing w:line="360" w:lineRule="exact"/>
              <w:rPr>
                <w:color w:val="auto"/>
                <w:sz w:val="22"/>
                <w:highlight w:val="none"/>
              </w:rPr>
            </w:pPr>
          </w:p>
        </w:tc>
        <w:tc>
          <w:tcPr>
            <w:tcW w:w="407" w:type="pct"/>
          </w:tcPr>
          <w:p w14:paraId="123F3CE9">
            <w:pPr>
              <w:spacing w:line="360" w:lineRule="exact"/>
              <w:rPr>
                <w:color w:val="auto"/>
                <w:sz w:val="22"/>
                <w:highlight w:val="none"/>
              </w:rPr>
            </w:pPr>
          </w:p>
        </w:tc>
        <w:tc>
          <w:tcPr>
            <w:tcW w:w="341" w:type="pct"/>
          </w:tcPr>
          <w:p w14:paraId="41B2CE20">
            <w:pPr>
              <w:spacing w:line="360" w:lineRule="exact"/>
              <w:rPr>
                <w:color w:val="auto"/>
                <w:sz w:val="22"/>
                <w:highlight w:val="none"/>
              </w:rPr>
            </w:pPr>
          </w:p>
        </w:tc>
        <w:tc>
          <w:tcPr>
            <w:tcW w:w="407" w:type="pct"/>
          </w:tcPr>
          <w:p w14:paraId="4534B77E">
            <w:pPr>
              <w:spacing w:line="360" w:lineRule="exact"/>
              <w:rPr>
                <w:color w:val="auto"/>
                <w:sz w:val="22"/>
                <w:highlight w:val="none"/>
              </w:rPr>
            </w:pPr>
          </w:p>
        </w:tc>
        <w:tc>
          <w:tcPr>
            <w:tcW w:w="373" w:type="pct"/>
          </w:tcPr>
          <w:p w14:paraId="21FEAD3D">
            <w:pPr>
              <w:spacing w:line="360" w:lineRule="exact"/>
              <w:rPr>
                <w:color w:val="auto"/>
                <w:sz w:val="22"/>
                <w:highlight w:val="none"/>
              </w:rPr>
            </w:pPr>
          </w:p>
        </w:tc>
        <w:tc>
          <w:tcPr>
            <w:tcW w:w="644" w:type="pct"/>
          </w:tcPr>
          <w:p w14:paraId="242703B3">
            <w:pPr>
              <w:spacing w:line="360" w:lineRule="exact"/>
              <w:rPr>
                <w:color w:val="auto"/>
                <w:sz w:val="22"/>
                <w:highlight w:val="none"/>
              </w:rPr>
            </w:pPr>
          </w:p>
        </w:tc>
      </w:tr>
      <w:tr w14:paraId="52DB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 w:type="pct"/>
          </w:tcPr>
          <w:p w14:paraId="21C2A88F">
            <w:pPr>
              <w:spacing w:line="360" w:lineRule="exact"/>
              <w:rPr>
                <w:color w:val="auto"/>
                <w:sz w:val="22"/>
                <w:highlight w:val="none"/>
              </w:rPr>
            </w:pPr>
          </w:p>
        </w:tc>
        <w:tc>
          <w:tcPr>
            <w:tcW w:w="601" w:type="pct"/>
          </w:tcPr>
          <w:p w14:paraId="05D01AB0">
            <w:pPr>
              <w:spacing w:line="360" w:lineRule="exact"/>
              <w:rPr>
                <w:color w:val="auto"/>
                <w:sz w:val="22"/>
                <w:highlight w:val="none"/>
              </w:rPr>
            </w:pPr>
          </w:p>
        </w:tc>
        <w:tc>
          <w:tcPr>
            <w:tcW w:w="502" w:type="pct"/>
          </w:tcPr>
          <w:p w14:paraId="177C9D46">
            <w:pPr>
              <w:spacing w:line="360" w:lineRule="exact"/>
              <w:rPr>
                <w:color w:val="auto"/>
                <w:sz w:val="22"/>
                <w:highlight w:val="none"/>
              </w:rPr>
            </w:pPr>
          </w:p>
        </w:tc>
        <w:tc>
          <w:tcPr>
            <w:tcW w:w="548" w:type="pct"/>
          </w:tcPr>
          <w:p w14:paraId="4F116F26">
            <w:pPr>
              <w:spacing w:line="360" w:lineRule="exact"/>
              <w:rPr>
                <w:color w:val="auto"/>
                <w:sz w:val="22"/>
                <w:highlight w:val="none"/>
              </w:rPr>
            </w:pPr>
          </w:p>
        </w:tc>
        <w:tc>
          <w:tcPr>
            <w:tcW w:w="490" w:type="pct"/>
          </w:tcPr>
          <w:p w14:paraId="1A938F72">
            <w:pPr>
              <w:spacing w:line="360" w:lineRule="exact"/>
              <w:rPr>
                <w:color w:val="auto"/>
                <w:sz w:val="22"/>
                <w:highlight w:val="none"/>
              </w:rPr>
            </w:pPr>
          </w:p>
        </w:tc>
        <w:tc>
          <w:tcPr>
            <w:tcW w:w="382" w:type="pct"/>
          </w:tcPr>
          <w:p w14:paraId="2CAE0CE6">
            <w:pPr>
              <w:spacing w:line="360" w:lineRule="exact"/>
              <w:rPr>
                <w:color w:val="auto"/>
                <w:sz w:val="22"/>
                <w:highlight w:val="none"/>
              </w:rPr>
            </w:pPr>
          </w:p>
        </w:tc>
        <w:tc>
          <w:tcPr>
            <w:tcW w:w="407" w:type="pct"/>
          </w:tcPr>
          <w:p w14:paraId="351D3036">
            <w:pPr>
              <w:spacing w:line="360" w:lineRule="exact"/>
              <w:rPr>
                <w:color w:val="auto"/>
                <w:sz w:val="22"/>
                <w:highlight w:val="none"/>
              </w:rPr>
            </w:pPr>
          </w:p>
        </w:tc>
        <w:tc>
          <w:tcPr>
            <w:tcW w:w="341" w:type="pct"/>
          </w:tcPr>
          <w:p w14:paraId="3D638CC2">
            <w:pPr>
              <w:spacing w:line="360" w:lineRule="exact"/>
              <w:rPr>
                <w:color w:val="auto"/>
                <w:sz w:val="22"/>
                <w:highlight w:val="none"/>
              </w:rPr>
            </w:pPr>
          </w:p>
        </w:tc>
        <w:tc>
          <w:tcPr>
            <w:tcW w:w="407" w:type="pct"/>
          </w:tcPr>
          <w:p w14:paraId="1EE5D3A0">
            <w:pPr>
              <w:spacing w:line="360" w:lineRule="exact"/>
              <w:rPr>
                <w:color w:val="auto"/>
                <w:sz w:val="22"/>
                <w:highlight w:val="none"/>
              </w:rPr>
            </w:pPr>
          </w:p>
        </w:tc>
        <w:tc>
          <w:tcPr>
            <w:tcW w:w="373" w:type="pct"/>
          </w:tcPr>
          <w:p w14:paraId="07679641">
            <w:pPr>
              <w:spacing w:line="360" w:lineRule="exact"/>
              <w:rPr>
                <w:color w:val="auto"/>
                <w:sz w:val="22"/>
                <w:highlight w:val="none"/>
              </w:rPr>
            </w:pPr>
          </w:p>
        </w:tc>
        <w:tc>
          <w:tcPr>
            <w:tcW w:w="644" w:type="pct"/>
          </w:tcPr>
          <w:p w14:paraId="007D4A5B">
            <w:pPr>
              <w:spacing w:line="360" w:lineRule="exact"/>
              <w:rPr>
                <w:color w:val="auto"/>
                <w:sz w:val="22"/>
                <w:highlight w:val="none"/>
              </w:rPr>
            </w:pPr>
          </w:p>
        </w:tc>
      </w:tr>
      <w:tr w14:paraId="0028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55" w:type="pct"/>
            <w:gridSpan w:val="10"/>
          </w:tcPr>
          <w:p w14:paraId="0FF3C6B3">
            <w:pPr>
              <w:spacing w:line="360" w:lineRule="exact"/>
              <w:rPr>
                <w:color w:val="auto"/>
                <w:sz w:val="22"/>
                <w:highlight w:val="none"/>
              </w:rPr>
            </w:pPr>
            <w:r>
              <w:rPr>
                <w:color w:val="auto"/>
                <w:sz w:val="22"/>
                <w:highlight w:val="none"/>
              </w:rPr>
              <w:t>合计（即：投标总价；币种：人民币；单位：元）：大写：</w:t>
            </w:r>
          </w:p>
        </w:tc>
        <w:tc>
          <w:tcPr>
            <w:tcW w:w="644" w:type="pct"/>
          </w:tcPr>
          <w:p w14:paraId="33230771">
            <w:pPr>
              <w:spacing w:line="360" w:lineRule="exact"/>
              <w:rPr>
                <w:color w:val="auto"/>
                <w:sz w:val="22"/>
                <w:highlight w:val="none"/>
              </w:rPr>
            </w:pPr>
          </w:p>
        </w:tc>
      </w:tr>
    </w:tbl>
    <w:p w14:paraId="0E83F430">
      <w:pPr>
        <w:spacing w:line="360" w:lineRule="exact"/>
        <w:rPr>
          <w:color w:val="auto"/>
          <w:sz w:val="22"/>
          <w:highlight w:val="none"/>
        </w:rPr>
      </w:pPr>
      <w:r>
        <w:rPr>
          <w:color w:val="auto"/>
          <w:sz w:val="22"/>
          <w:highlight w:val="none"/>
        </w:rPr>
        <w:t>注：</w:t>
      </w:r>
    </w:p>
    <w:p w14:paraId="0BC44224">
      <w:pPr>
        <w:spacing w:line="360" w:lineRule="exact"/>
        <w:rPr>
          <w:color w:val="auto"/>
          <w:sz w:val="22"/>
          <w:highlight w:val="none"/>
        </w:rPr>
      </w:pPr>
      <w:r>
        <w:rPr>
          <w:color w:val="auto"/>
          <w:sz w:val="22"/>
          <w:highlight w:val="none"/>
        </w:rPr>
        <w:t>1、所有价格应按“</w:t>
      </w:r>
      <w:r>
        <w:rPr>
          <w:rFonts w:hint="eastAsia"/>
          <w:color w:val="auto"/>
          <w:sz w:val="22"/>
          <w:highlight w:val="none"/>
        </w:rPr>
        <w:t>招标</w:t>
      </w:r>
      <w:r>
        <w:rPr>
          <w:color w:val="auto"/>
          <w:sz w:val="22"/>
          <w:highlight w:val="none"/>
        </w:rPr>
        <w:t>文件”中规定的货币单位填写；</w:t>
      </w:r>
    </w:p>
    <w:p w14:paraId="756CDF73">
      <w:pPr>
        <w:spacing w:line="360" w:lineRule="exact"/>
        <w:rPr>
          <w:color w:val="auto"/>
          <w:sz w:val="22"/>
          <w:highlight w:val="none"/>
        </w:rPr>
      </w:pPr>
      <w:r>
        <w:rPr>
          <w:color w:val="auto"/>
          <w:sz w:val="22"/>
          <w:highlight w:val="none"/>
        </w:rPr>
        <w:t>2、投标总价应为以上各分项价格之和；</w:t>
      </w:r>
    </w:p>
    <w:p w14:paraId="4ADC0193">
      <w:pPr>
        <w:spacing w:line="360" w:lineRule="exact"/>
        <w:rPr>
          <w:color w:val="auto"/>
          <w:sz w:val="22"/>
          <w:highlight w:val="none"/>
        </w:rPr>
      </w:pPr>
      <w:r>
        <w:rPr>
          <w:color w:val="auto"/>
          <w:sz w:val="22"/>
          <w:highlight w:val="none"/>
        </w:rPr>
        <w:t>3、本表格式不得修改；</w:t>
      </w:r>
    </w:p>
    <w:p w14:paraId="4AB9E2FE">
      <w:pPr>
        <w:spacing w:line="360" w:lineRule="exact"/>
        <w:rPr>
          <w:color w:val="auto"/>
          <w:sz w:val="22"/>
          <w:highlight w:val="none"/>
        </w:rPr>
      </w:pPr>
      <w:r>
        <w:rPr>
          <w:color w:val="auto"/>
          <w:sz w:val="22"/>
          <w:highlight w:val="none"/>
        </w:rPr>
        <w:t>4、单价、合价和投标总价为包干价，即三者均应包含设备的价款、包装、运输、装卸、安装、调试、技术指导、培训、咨询、服务、保险、税费、检测、验收合格交付使用之前以及技术和售后服务等其他各项有关费用。</w:t>
      </w:r>
    </w:p>
    <w:p w14:paraId="12D40093">
      <w:pPr>
        <w:spacing w:line="360" w:lineRule="exact"/>
        <w:rPr>
          <w:color w:val="auto"/>
          <w:sz w:val="22"/>
          <w:highlight w:val="none"/>
        </w:rPr>
      </w:pPr>
      <w:r>
        <w:rPr>
          <w:color w:val="auto"/>
          <w:sz w:val="22"/>
          <w:highlight w:val="none"/>
        </w:rPr>
        <w:t>5、投标总价和</w:t>
      </w:r>
      <w:r>
        <w:rPr>
          <w:rFonts w:hint="eastAsia"/>
          <w:color w:val="auto"/>
          <w:sz w:val="22"/>
          <w:highlight w:val="none"/>
        </w:rPr>
        <w:t>分项报价表</w:t>
      </w:r>
      <w:r>
        <w:rPr>
          <w:color w:val="auto"/>
          <w:sz w:val="22"/>
          <w:highlight w:val="none"/>
        </w:rPr>
        <w:t>中单个采购预算条目报价均不得超过对应的财政预算限额，否则将导致废标。</w:t>
      </w:r>
    </w:p>
    <w:p w14:paraId="4DD07C2B">
      <w:pPr>
        <w:spacing w:line="360" w:lineRule="exact"/>
        <w:rPr>
          <w:color w:val="auto"/>
          <w:sz w:val="22"/>
          <w:highlight w:val="none"/>
        </w:rPr>
      </w:pPr>
      <w:r>
        <w:rPr>
          <w:color w:val="auto"/>
          <w:sz w:val="22"/>
          <w:highlight w:val="none"/>
        </w:rPr>
        <w:t>6、开标一览表的投标总价必须与</w:t>
      </w:r>
      <w:r>
        <w:rPr>
          <w:rFonts w:hint="eastAsia"/>
          <w:color w:val="auto"/>
          <w:sz w:val="22"/>
          <w:highlight w:val="none"/>
        </w:rPr>
        <w:t>分项报价表</w:t>
      </w:r>
      <w:r>
        <w:rPr>
          <w:color w:val="auto"/>
          <w:sz w:val="22"/>
          <w:highlight w:val="none"/>
        </w:rPr>
        <w:t>的投标总价一致。</w:t>
      </w:r>
    </w:p>
    <w:p w14:paraId="3BDF93B9">
      <w:pPr>
        <w:spacing w:line="360" w:lineRule="exact"/>
        <w:rPr>
          <w:color w:val="auto"/>
          <w:sz w:val="22"/>
          <w:highlight w:val="none"/>
        </w:rPr>
      </w:pPr>
      <w:r>
        <w:rPr>
          <w:color w:val="auto"/>
          <w:sz w:val="22"/>
          <w:highlight w:val="none"/>
        </w:rPr>
        <w:t>7、“原产地”是指该产品的实际生产加工地，而非品牌总公司所在地。</w:t>
      </w:r>
    </w:p>
    <w:p w14:paraId="01526637">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lang w:val="zh-CN"/>
        </w:rPr>
        <w:t>法定代表人（</w:t>
      </w:r>
      <w:r>
        <w:rPr>
          <w:rFonts w:hint="eastAsia" w:ascii="宋体" w:hAnsi="宋体" w:cs="宋体"/>
          <w:snapToGrid w:val="0"/>
          <w:color w:val="auto"/>
          <w:kern w:val="0"/>
          <w:sz w:val="22"/>
          <w:szCs w:val="24"/>
          <w:highlight w:val="none"/>
        </w:rPr>
        <w:t>单位负责人</w:t>
      </w:r>
      <w:r>
        <w:rPr>
          <w:rFonts w:hint="eastAsia" w:ascii="宋体" w:hAnsi="宋体" w:cs="宋体"/>
          <w:snapToGrid w:val="0"/>
          <w:color w:val="auto"/>
          <w:kern w:val="0"/>
          <w:sz w:val="22"/>
          <w:szCs w:val="24"/>
          <w:highlight w:val="none"/>
          <w:lang w:val="zh-CN"/>
        </w:rPr>
        <w:t>）或其授权代表（签字</w:t>
      </w:r>
      <w:r>
        <w:rPr>
          <w:rFonts w:hint="eastAsia" w:ascii="宋体" w:hAnsi="宋体" w:cs="宋体"/>
          <w:snapToGrid w:val="0"/>
          <w:color w:val="auto"/>
          <w:kern w:val="0"/>
          <w:sz w:val="22"/>
          <w:szCs w:val="24"/>
          <w:highlight w:val="none"/>
        </w:rPr>
        <w:t>或盖章</w:t>
      </w:r>
      <w:r>
        <w:rPr>
          <w:rFonts w:hint="eastAsia" w:ascii="宋体" w:hAnsi="宋体" w:cs="宋体"/>
          <w:snapToGrid w:val="0"/>
          <w:color w:val="auto"/>
          <w:kern w:val="0"/>
          <w:sz w:val="22"/>
          <w:szCs w:val="24"/>
          <w:highlight w:val="none"/>
          <w:lang w:val="zh-CN"/>
        </w:rPr>
        <w:t>）</w:t>
      </w:r>
      <w:r>
        <w:rPr>
          <w:rFonts w:hint="eastAsia" w:ascii="宋体" w:hAnsi="宋体" w:cs="宋体"/>
          <w:snapToGrid w:val="0"/>
          <w:color w:val="auto"/>
          <w:kern w:val="0"/>
          <w:sz w:val="22"/>
          <w:szCs w:val="24"/>
          <w:highlight w:val="none"/>
        </w:rPr>
        <w:t xml:space="preserve">：                   </w:t>
      </w:r>
    </w:p>
    <w:p w14:paraId="322E4CC1">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投标人名称（盖章）：                        </w:t>
      </w:r>
    </w:p>
    <w:p w14:paraId="56F60E0A">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日期：   年   月   日</w:t>
      </w:r>
    </w:p>
    <w:p w14:paraId="67FAC177">
      <w:pPr>
        <w:pStyle w:val="3"/>
        <w:numPr>
          <w:ilvl w:val="0"/>
          <w:numId w:val="8"/>
        </w:numPr>
        <w:rPr>
          <w:rFonts w:hint="eastAsia"/>
          <w:color w:val="auto"/>
          <w:highlight w:val="none"/>
        </w:rPr>
      </w:pPr>
      <w:r>
        <w:rPr>
          <w:rFonts w:hint="eastAsia"/>
          <w:color w:val="auto"/>
          <w:highlight w:val="none"/>
        </w:rPr>
        <w:t>《零配件、消耗品和延续保修合同报价明细清单》</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1336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11823D5">
            <w:pPr>
              <w:jc w:val="center"/>
              <w:rPr>
                <w:rFonts w:hint="eastAsia"/>
                <w:color w:val="auto"/>
                <w:highlight w:val="none"/>
              </w:rPr>
            </w:pPr>
            <w:r>
              <w:rPr>
                <w:rFonts w:hint="eastAsia"/>
                <w:color w:val="auto"/>
                <w:highlight w:val="none"/>
              </w:rPr>
              <w:t>序号</w:t>
            </w:r>
          </w:p>
        </w:tc>
        <w:tc>
          <w:tcPr>
            <w:tcW w:w="1704" w:type="dxa"/>
            <w:vAlign w:val="center"/>
          </w:tcPr>
          <w:p w14:paraId="6950DDBF">
            <w:pPr>
              <w:jc w:val="center"/>
              <w:rPr>
                <w:rFonts w:hint="eastAsia"/>
                <w:color w:val="auto"/>
                <w:highlight w:val="none"/>
              </w:rPr>
            </w:pPr>
            <w:r>
              <w:rPr>
                <w:rFonts w:hint="eastAsia" w:ascii="宋体" w:hAnsi="宋体" w:cs="宋体"/>
                <w:bCs/>
                <w:color w:val="auto"/>
                <w:kern w:val="0"/>
                <w:sz w:val="22"/>
                <w:highlight w:val="none"/>
              </w:rPr>
              <w:t>零配件</w:t>
            </w:r>
          </w:p>
        </w:tc>
        <w:tc>
          <w:tcPr>
            <w:tcW w:w="1704" w:type="dxa"/>
            <w:vAlign w:val="center"/>
          </w:tcPr>
          <w:p w14:paraId="594EE582">
            <w:pPr>
              <w:jc w:val="center"/>
              <w:rPr>
                <w:rFonts w:hint="eastAsia"/>
                <w:color w:val="auto"/>
                <w:highlight w:val="none"/>
              </w:rPr>
            </w:pPr>
            <w:r>
              <w:rPr>
                <w:rFonts w:hint="eastAsia" w:ascii="宋体" w:hAnsi="宋体" w:cs="宋体"/>
                <w:bCs/>
                <w:color w:val="auto"/>
                <w:kern w:val="0"/>
                <w:sz w:val="22"/>
                <w:highlight w:val="none"/>
              </w:rPr>
              <w:t>消耗品</w:t>
            </w:r>
          </w:p>
        </w:tc>
        <w:tc>
          <w:tcPr>
            <w:tcW w:w="1705" w:type="dxa"/>
            <w:vAlign w:val="center"/>
          </w:tcPr>
          <w:p w14:paraId="56D2D365">
            <w:pPr>
              <w:jc w:val="center"/>
              <w:rPr>
                <w:rFonts w:hint="eastAsia"/>
                <w:color w:val="auto"/>
                <w:highlight w:val="none"/>
              </w:rPr>
            </w:pPr>
            <w:r>
              <w:rPr>
                <w:rFonts w:hint="eastAsia" w:ascii="宋体" w:hAnsi="宋体" w:cs="宋体"/>
                <w:bCs/>
                <w:color w:val="auto"/>
                <w:kern w:val="0"/>
                <w:sz w:val="22"/>
                <w:highlight w:val="none"/>
              </w:rPr>
              <w:t>延续保修</w:t>
            </w:r>
          </w:p>
        </w:tc>
        <w:tc>
          <w:tcPr>
            <w:tcW w:w="1705" w:type="dxa"/>
            <w:vAlign w:val="center"/>
          </w:tcPr>
          <w:p w14:paraId="4F7474A1">
            <w:pPr>
              <w:jc w:val="center"/>
              <w:rPr>
                <w:rFonts w:hint="eastAsia"/>
                <w:color w:val="auto"/>
                <w:highlight w:val="none"/>
              </w:rPr>
            </w:pPr>
            <w:r>
              <w:rPr>
                <w:rFonts w:hint="eastAsia"/>
                <w:color w:val="auto"/>
                <w:highlight w:val="none"/>
              </w:rPr>
              <w:t>备注</w:t>
            </w:r>
          </w:p>
        </w:tc>
      </w:tr>
      <w:tr w14:paraId="3EB0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149E975E">
            <w:pPr>
              <w:jc w:val="center"/>
              <w:rPr>
                <w:rFonts w:hint="eastAsia"/>
                <w:color w:val="auto"/>
                <w:highlight w:val="none"/>
              </w:rPr>
            </w:pPr>
            <w:r>
              <w:rPr>
                <w:rFonts w:hint="eastAsia"/>
                <w:color w:val="auto"/>
                <w:highlight w:val="none"/>
              </w:rPr>
              <w:t>1</w:t>
            </w:r>
          </w:p>
        </w:tc>
        <w:tc>
          <w:tcPr>
            <w:tcW w:w="1704" w:type="dxa"/>
            <w:vAlign w:val="center"/>
          </w:tcPr>
          <w:p w14:paraId="18801A2D">
            <w:pPr>
              <w:jc w:val="center"/>
              <w:rPr>
                <w:rFonts w:hint="eastAsia"/>
                <w:color w:val="auto"/>
                <w:highlight w:val="none"/>
              </w:rPr>
            </w:pPr>
          </w:p>
        </w:tc>
        <w:tc>
          <w:tcPr>
            <w:tcW w:w="1704" w:type="dxa"/>
            <w:vAlign w:val="center"/>
          </w:tcPr>
          <w:p w14:paraId="1530A311">
            <w:pPr>
              <w:jc w:val="center"/>
              <w:rPr>
                <w:rFonts w:hint="eastAsia"/>
                <w:color w:val="auto"/>
                <w:highlight w:val="none"/>
              </w:rPr>
            </w:pPr>
          </w:p>
        </w:tc>
        <w:tc>
          <w:tcPr>
            <w:tcW w:w="1705" w:type="dxa"/>
            <w:vAlign w:val="center"/>
          </w:tcPr>
          <w:p w14:paraId="08D028D3">
            <w:pPr>
              <w:jc w:val="center"/>
              <w:rPr>
                <w:rFonts w:hint="eastAsia"/>
                <w:color w:val="auto"/>
                <w:highlight w:val="none"/>
              </w:rPr>
            </w:pPr>
          </w:p>
        </w:tc>
        <w:tc>
          <w:tcPr>
            <w:tcW w:w="1705" w:type="dxa"/>
            <w:vAlign w:val="center"/>
          </w:tcPr>
          <w:p w14:paraId="73C91491">
            <w:pPr>
              <w:jc w:val="center"/>
              <w:rPr>
                <w:rFonts w:hint="eastAsia"/>
                <w:color w:val="auto"/>
                <w:highlight w:val="none"/>
              </w:rPr>
            </w:pPr>
          </w:p>
        </w:tc>
      </w:tr>
      <w:tr w14:paraId="59E7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5ADCE2D">
            <w:pPr>
              <w:jc w:val="center"/>
              <w:rPr>
                <w:rFonts w:hint="eastAsia"/>
                <w:color w:val="auto"/>
                <w:highlight w:val="none"/>
              </w:rPr>
            </w:pPr>
            <w:r>
              <w:rPr>
                <w:rFonts w:hint="eastAsia"/>
                <w:color w:val="auto"/>
                <w:highlight w:val="none"/>
              </w:rPr>
              <w:t>2</w:t>
            </w:r>
          </w:p>
        </w:tc>
        <w:tc>
          <w:tcPr>
            <w:tcW w:w="1704" w:type="dxa"/>
            <w:vAlign w:val="center"/>
          </w:tcPr>
          <w:p w14:paraId="33964239">
            <w:pPr>
              <w:jc w:val="center"/>
              <w:rPr>
                <w:rFonts w:hint="eastAsia"/>
                <w:color w:val="auto"/>
                <w:highlight w:val="none"/>
              </w:rPr>
            </w:pPr>
          </w:p>
        </w:tc>
        <w:tc>
          <w:tcPr>
            <w:tcW w:w="1704" w:type="dxa"/>
            <w:vAlign w:val="center"/>
          </w:tcPr>
          <w:p w14:paraId="1A534572">
            <w:pPr>
              <w:jc w:val="center"/>
              <w:rPr>
                <w:rFonts w:hint="eastAsia"/>
                <w:color w:val="auto"/>
                <w:highlight w:val="none"/>
              </w:rPr>
            </w:pPr>
          </w:p>
        </w:tc>
        <w:tc>
          <w:tcPr>
            <w:tcW w:w="1705" w:type="dxa"/>
            <w:vAlign w:val="center"/>
          </w:tcPr>
          <w:p w14:paraId="102D452F">
            <w:pPr>
              <w:jc w:val="center"/>
              <w:rPr>
                <w:rFonts w:hint="eastAsia"/>
                <w:color w:val="auto"/>
                <w:highlight w:val="none"/>
              </w:rPr>
            </w:pPr>
          </w:p>
        </w:tc>
        <w:tc>
          <w:tcPr>
            <w:tcW w:w="1705" w:type="dxa"/>
            <w:vAlign w:val="center"/>
          </w:tcPr>
          <w:p w14:paraId="76E1B14F">
            <w:pPr>
              <w:jc w:val="center"/>
              <w:rPr>
                <w:rFonts w:hint="eastAsia"/>
                <w:color w:val="auto"/>
                <w:highlight w:val="none"/>
              </w:rPr>
            </w:pPr>
          </w:p>
        </w:tc>
      </w:tr>
      <w:tr w14:paraId="1FE5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F366F5E">
            <w:pPr>
              <w:jc w:val="center"/>
              <w:rPr>
                <w:rFonts w:hint="eastAsia"/>
                <w:color w:val="auto"/>
                <w:highlight w:val="none"/>
              </w:rPr>
            </w:pPr>
            <w:r>
              <w:rPr>
                <w:rFonts w:hint="eastAsia"/>
                <w:color w:val="auto"/>
                <w:highlight w:val="none"/>
              </w:rPr>
              <w:t>3</w:t>
            </w:r>
          </w:p>
        </w:tc>
        <w:tc>
          <w:tcPr>
            <w:tcW w:w="1704" w:type="dxa"/>
            <w:vAlign w:val="center"/>
          </w:tcPr>
          <w:p w14:paraId="67226A3E">
            <w:pPr>
              <w:jc w:val="center"/>
              <w:rPr>
                <w:rFonts w:hint="eastAsia"/>
                <w:color w:val="auto"/>
                <w:highlight w:val="none"/>
              </w:rPr>
            </w:pPr>
          </w:p>
        </w:tc>
        <w:tc>
          <w:tcPr>
            <w:tcW w:w="1704" w:type="dxa"/>
            <w:vAlign w:val="center"/>
          </w:tcPr>
          <w:p w14:paraId="67A97624">
            <w:pPr>
              <w:jc w:val="center"/>
              <w:rPr>
                <w:rFonts w:hint="eastAsia"/>
                <w:color w:val="auto"/>
                <w:highlight w:val="none"/>
              </w:rPr>
            </w:pPr>
          </w:p>
        </w:tc>
        <w:tc>
          <w:tcPr>
            <w:tcW w:w="1705" w:type="dxa"/>
            <w:vAlign w:val="center"/>
          </w:tcPr>
          <w:p w14:paraId="12EB05C7">
            <w:pPr>
              <w:jc w:val="center"/>
              <w:rPr>
                <w:rFonts w:hint="eastAsia"/>
                <w:color w:val="auto"/>
                <w:highlight w:val="none"/>
              </w:rPr>
            </w:pPr>
          </w:p>
        </w:tc>
        <w:tc>
          <w:tcPr>
            <w:tcW w:w="1705" w:type="dxa"/>
            <w:vAlign w:val="center"/>
          </w:tcPr>
          <w:p w14:paraId="0C0C321F">
            <w:pPr>
              <w:jc w:val="center"/>
              <w:rPr>
                <w:rFonts w:hint="eastAsia"/>
                <w:color w:val="auto"/>
                <w:highlight w:val="none"/>
              </w:rPr>
            </w:pPr>
          </w:p>
        </w:tc>
      </w:tr>
      <w:tr w14:paraId="0C01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5A60EEA">
            <w:pPr>
              <w:jc w:val="center"/>
              <w:rPr>
                <w:color w:val="auto"/>
                <w:highlight w:val="none"/>
              </w:rPr>
            </w:pPr>
            <w:r>
              <w:rPr>
                <w:rFonts w:hint="eastAsia"/>
                <w:color w:val="auto"/>
                <w:highlight w:val="none"/>
              </w:rPr>
              <w:t>4</w:t>
            </w:r>
          </w:p>
        </w:tc>
        <w:tc>
          <w:tcPr>
            <w:tcW w:w="1704" w:type="dxa"/>
            <w:vAlign w:val="center"/>
          </w:tcPr>
          <w:p w14:paraId="4BBDE8B7">
            <w:pPr>
              <w:jc w:val="center"/>
              <w:rPr>
                <w:rFonts w:hint="eastAsia"/>
                <w:color w:val="auto"/>
                <w:highlight w:val="none"/>
              </w:rPr>
            </w:pPr>
          </w:p>
        </w:tc>
        <w:tc>
          <w:tcPr>
            <w:tcW w:w="1704" w:type="dxa"/>
            <w:vAlign w:val="center"/>
          </w:tcPr>
          <w:p w14:paraId="2492D607">
            <w:pPr>
              <w:jc w:val="center"/>
              <w:rPr>
                <w:rFonts w:hint="eastAsia"/>
                <w:color w:val="auto"/>
                <w:highlight w:val="none"/>
              </w:rPr>
            </w:pPr>
          </w:p>
        </w:tc>
        <w:tc>
          <w:tcPr>
            <w:tcW w:w="1705" w:type="dxa"/>
            <w:vAlign w:val="center"/>
          </w:tcPr>
          <w:p w14:paraId="7E327093">
            <w:pPr>
              <w:jc w:val="center"/>
              <w:rPr>
                <w:rFonts w:hint="eastAsia"/>
                <w:color w:val="auto"/>
                <w:highlight w:val="none"/>
              </w:rPr>
            </w:pPr>
          </w:p>
        </w:tc>
        <w:tc>
          <w:tcPr>
            <w:tcW w:w="1705" w:type="dxa"/>
            <w:vAlign w:val="center"/>
          </w:tcPr>
          <w:p w14:paraId="0266D4AC">
            <w:pPr>
              <w:jc w:val="center"/>
              <w:rPr>
                <w:rFonts w:hint="eastAsia"/>
                <w:color w:val="auto"/>
                <w:highlight w:val="none"/>
              </w:rPr>
            </w:pPr>
          </w:p>
        </w:tc>
      </w:tr>
      <w:tr w14:paraId="4BCF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07407E8">
            <w:pPr>
              <w:jc w:val="center"/>
              <w:rPr>
                <w:color w:val="auto"/>
                <w:highlight w:val="none"/>
              </w:rPr>
            </w:pPr>
            <w:r>
              <w:rPr>
                <w:rFonts w:hint="eastAsia"/>
                <w:color w:val="auto"/>
                <w:highlight w:val="none"/>
              </w:rPr>
              <w:t>5</w:t>
            </w:r>
          </w:p>
        </w:tc>
        <w:tc>
          <w:tcPr>
            <w:tcW w:w="1704" w:type="dxa"/>
            <w:vAlign w:val="center"/>
          </w:tcPr>
          <w:p w14:paraId="6E49F763">
            <w:pPr>
              <w:jc w:val="center"/>
              <w:rPr>
                <w:rFonts w:hint="eastAsia"/>
                <w:color w:val="auto"/>
                <w:highlight w:val="none"/>
              </w:rPr>
            </w:pPr>
          </w:p>
        </w:tc>
        <w:tc>
          <w:tcPr>
            <w:tcW w:w="1704" w:type="dxa"/>
            <w:vAlign w:val="center"/>
          </w:tcPr>
          <w:p w14:paraId="04DB46CB">
            <w:pPr>
              <w:jc w:val="center"/>
              <w:rPr>
                <w:rFonts w:hint="eastAsia"/>
                <w:color w:val="auto"/>
                <w:highlight w:val="none"/>
              </w:rPr>
            </w:pPr>
          </w:p>
        </w:tc>
        <w:tc>
          <w:tcPr>
            <w:tcW w:w="1705" w:type="dxa"/>
            <w:vAlign w:val="center"/>
          </w:tcPr>
          <w:p w14:paraId="442C5115">
            <w:pPr>
              <w:jc w:val="center"/>
              <w:rPr>
                <w:rFonts w:hint="eastAsia"/>
                <w:color w:val="auto"/>
                <w:highlight w:val="none"/>
              </w:rPr>
            </w:pPr>
          </w:p>
        </w:tc>
        <w:tc>
          <w:tcPr>
            <w:tcW w:w="1705" w:type="dxa"/>
            <w:vAlign w:val="center"/>
          </w:tcPr>
          <w:p w14:paraId="60F3A8F7">
            <w:pPr>
              <w:jc w:val="center"/>
              <w:rPr>
                <w:rFonts w:hint="eastAsia"/>
                <w:color w:val="auto"/>
                <w:highlight w:val="none"/>
              </w:rPr>
            </w:pPr>
          </w:p>
        </w:tc>
      </w:tr>
    </w:tbl>
    <w:p w14:paraId="6BC9E5F3">
      <w:pPr>
        <w:rPr>
          <w:rFonts w:hint="eastAsia" w:ascii="宋体" w:hAnsi="宋体" w:cs="宋体"/>
          <w:bCs/>
          <w:color w:val="auto"/>
          <w:kern w:val="0"/>
          <w:sz w:val="22"/>
          <w:highlight w:val="none"/>
        </w:rPr>
      </w:pPr>
      <w:r>
        <w:rPr>
          <w:rFonts w:hint="eastAsia" w:ascii="宋体" w:hAnsi="宋体" w:cs="宋体"/>
          <w:bCs/>
          <w:color w:val="auto"/>
          <w:kern w:val="0"/>
          <w:sz w:val="22"/>
          <w:highlight w:val="none"/>
        </w:rPr>
        <w:t>注：</w:t>
      </w:r>
    </w:p>
    <w:p w14:paraId="71624944">
      <w:pPr>
        <w:rPr>
          <w:rFonts w:hint="eastAsia" w:ascii="宋体" w:hAnsi="宋体" w:cs="宋体"/>
          <w:bCs/>
          <w:color w:val="auto"/>
          <w:kern w:val="0"/>
          <w:sz w:val="22"/>
          <w:highlight w:val="none"/>
        </w:rPr>
      </w:pPr>
      <w:r>
        <w:rPr>
          <w:rFonts w:hint="eastAsia" w:ascii="宋体" w:hAnsi="宋体" w:cs="宋体"/>
          <w:bCs/>
          <w:color w:val="auto"/>
          <w:kern w:val="0"/>
          <w:sz w:val="22"/>
          <w:highlight w:val="none"/>
        </w:rPr>
        <w:t>1.投标人将价格最高的前5项零配件、消耗品和延续保修合同的报价明细应填写于《零配件、消耗品和延续保修合同报价明细清单》。</w:t>
      </w:r>
    </w:p>
    <w:p w14:paraId="0210C8B9">
      <w:pPr>
        <w:rPr>
          <w:rFonts w:hint="eastAsia" w:ascii="宋体" w:hAnsi="宋体" w:cs="宋体"/>
          <w:bCs/>
          <w:color w:val="auto"/>
          <w:kern w:val="0"/>
          <w:sz w:val="22"/>
          <w:highlight w:val="none"/>
        </w:rPr>
      </w:pPr>
      <w:r>
        <w:rPr>
          <w:rFonts w:hint="eastAsia" w:ascii="宋体" w:hAnsi="宋体" w:cs="宋体"/>
          <w:bCs/>
          <w:color w:val="auto"/>
          <w:kern w:val="0"/>
          <w:sz w:val="22"/>
          <w:highlight w:val="none"/>
        </w:rPr>
        <w:t>2.本表格仅为指导性范本，供应商应根据项目具体情况对各分项内容进行调整提供详细分项报价。</w:t>
      </w:r>
    </w:p>
    <w:p w14:paraId="1FD4C30C">
      <w:pPr>
        <w:spacing w:line="360" w:lineRule="exact"/>
        <w:ind w:right="2100" w:rightChars="1000"/>
        <w:jc w:val="left"/>
        <w:rPr>
          <w:rFonts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 xml:space="preserve">投标人名称（盖章）：                        </w:t>
      </w:r>
    </w:p>
    <w:p w14:paraId="0D64D923">
      <w:pPr>
        <w:spacing w:line="360" w:lineRule="exact"/>
        <w:ind w:right="2100" w:rightChars="1000"/>
        <w:jc w:val="left"/>
        <w:rPr>
          <w:rFonts w:hint="eastAsia" w:ascii="宋体" w:hAnsi="宋体" w:cs="宋体"/>
          <w:snapToGrid w:val="0"/>
          <w:color w:val="auto"/>
          <w:kern w:val="0"/>
          <w:sz w:val="22"/>
          <w:szCs w:val="24"/>
          <w:highlight w:val="none"/>
        </w:rPr>
      </w:pPr>
      <w:r>
        <w:rPr>
          <w:rFonts w:hint="eastAsia" w:ascii="宋体" w:hAnsi="宋体" w:cs="宋体"/>
          <w:snapToGrid w:val="0"/>
          <w:color w:val="auto"/>
          <w:kern w:val="0"/>
          <w:sz w:val="22"/>
          <w:szCs w:val="24"/>
          <w:highlight w:val="none"/>
        </w:rPr>
        <w:t>日期：   年   月   日</w:t>
      </w:r>
    </w:p>
    <w:p w14:paraId="004C49AB">
      <w:pPr>
        <w:numPr>
          <w:ilvl w:val="0"/>
          <w:numId w:val="0"/>
        </w:numPr>
        <w:tabs>
          <w:tab w:val="left" w:pos="0"/>
        </w:tabs>
        <w:jc w:val="center"/>
        <w:outlineLvl w:val="2"/>
        <w:rPr>
          <w:rFonts w:hint="eastAsia" w:ascii="宋体" w:hAnsi="宋体" w:cs="宋体"/>
          <w:b/>
          <w:bCs/>
          <w:color w:val="auto"/>
          <w:sz w:val="32"/>
          <w:szCs w:val="32"/>
          <w:highlight w:val="none"/>
          <w:lang w:eastAsia="zh-CN"/>
        </w:rPr>
      </w:pPr>
    </w:p>
    <w:p w14:paraId="64A52DE2">
      <w:pPr>
        <w:numPr>
          <w:ilvl w:val="0"/>
          <w:numId w:val="0"/>
        </w:numPr>
        <w:tabs>
          <w:tab w:val="left" w:pos="0"/>
        </w:tabs>
        <w:jc w:val="center"/>
        <w:outlineLvl w:val="2"/>
        <w:rPr>
          <w:rFonts w:hint="eastAsia" w:ascii="宋体" w:hAnsi="宋体" w:cs="宋体"/>
          <w:b/>
          <w:bCs/>
          <w:color w:val="auto"/>
          <w:sz w:val="32"/>
          <w:szCs w:val="32"/>
          <w:highlight w:val="none"/>
        </w:rPr>
      </w:pPr>
      <w:r>
        <w:rPr>
          <w:rFonts w:hint="eastAsia" w:ascii="宋体" w:hAnsi="宋体" w:cs="宋体"/>
          <w:b/>
          <w:bCs/>
          <w:color w:val="auto"/>
          <w:sz w:val="32"/>
          <w:szCs w:val="32"/>
          <w:highlight w:val="none"/>
          <w:lang w:eastAsia="zh-CN"/>
        </w:rPr>
        <w:t>十、</w:t>
      </w:r>
      <w:r>
        <w:rPr>
          <w:rFonts w:hint="eastAsia" w:ascii="宋体" w:hAnsi="宋体" w:cs="宋体"/>
          <w:b/>
          <w:bCs/>
          <w:color w:val="auto"/>
          <w:sz w:val="32"/>
          <w:szCs w:val="32"/>
          <w:highlight w:val="none"/>
        </w:rPr>
        <w:t>供应商情况介绍</w:t>
      </w:r>
    </w:p>
    <w:p w14:paraId="45600311">
      <w:pPr>
        <w:numPr>
          <w:ilvl w:val="0"/>
          <w:numId w:val="9"/>
        </w:numPr>
        <w:spacing w:line="360" w:lineRule="exact"/>
        <w:jc w:val="left"/>
        <w:rPr>
          <w:rFonts w:hint="eastAsia" w:cs="宋体"/>
          <w:b/>
          <w:bCs/>
          <w:color w:val="auto"/>
          <w:sz w:val="22"/>
          <w:highlight w:val="none"/>
        </w:rPr>
      </w:pPr>
      <w:r>
        <w:rPr>
          <w:rFonts w:hint="eastAsia" w:cs="宋体"/>
          <w:b/>
          <w:bCs/>
          <w:color w:val="auto"/>
          <w:sz w:val="22"/>
          <w:highlight w:val="none"/>
        </w:rPr>
        <w:t>供应商一览表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414"/>
        <w:gridCol w:w="4145"/>
        <w:gridCol w:w="1309"/>
      </w:tblGrid>
      <w:tr w14:paraId="15D3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DE4D3C">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序号</w:t>
            </w:r>
          </w:p>
        </w:tc>
        <w:tc>
          <w:tcPr>
            <w:tcW w:w="0" w:type="auto"/>
          </w:tcPr>
          <w:p w14:paraId="6A40E892">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项  目</w:t>
            </w:r>
          </w:p>
        </w:tc>
        <w:tc>
          <w:tcPr>
            <w:tcW w:w="0" w:type="auto"/>
          </w:tcPr>
          <w:p w14:paraId="6DFD4C30">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内容及说明</w:t>
            </w:r>
          </w:p>
        </w:tc>
        <w:tc>
          <w:tcPr>
            <w:tcW w:w="0" w:type="auto"/>
          </w:tcPr>
          <w:p w14:paraId="568CE592">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备注</w:t>
            </w:r>
          </w:p>
        </w:tc>
      </w:tr>
      <w:tr w14:paraId="772B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0" w:type="auto"/>
            <w:vMerge w:val="restart"/>
          </w:tcPr>
          <w:p w14:paraId="5C76090E">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一</w:t>
            </w:r>
          </w:p>
        </w:tc>
        <w:tc>
          <w:tcPr>
            <w:tcW w:w="0" w:type="auto"/>
          </w:tcPr>
          <w:p w14:paraId="12F6A569">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营业执照</w:t>
            </w:r>
          </w:p>
        </w:tc>
        <w:tc>
          <w:tcPr>
            <w:tcW w:w="0" w:type="auto"/>
          </w:tcPr>
          <w:p w14:paraId="66328F38">
            <w:pPr>
              <w:adjustRightInd w:val="0"/>
              <w:snapToGrid w:val="0"/>
              <w:spacing w:line="360" w:lineRule="exact"/>
              <w:rPr>
                <w:rFonts w:hint="eastAsia" w:ascii="宋体" w:hAnsi="宋体" w:cs="宋体"/>
                <w:bCs/>
                <w:color w:val="auto"/>
                <w:sz w:val="22"/>
                <w:highlight w:val="none"/>
              </w:rPr>
            </w:pPr>
          </w:p>
        </w:tc>
        <w:tc>
          <w:tcPr>
            <w:tcW w:w="0" w:type="auto"/>
            <w:vMerge w:val="restart"/>
          </w:tcPr>
          <w:p w14:paraId="34CDF43D">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提供复印件</w:t>
            </w:r>
          </w:p>
        </w:tc>
      </w:tr>
      <w:tr w14:paraId="6B67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0" w:type="auto"/>
            <w:vMerge w:val="continue"/>
          </w:tcPr>
          <w:p w14:paraId="7D034A31">
            <w:pPr>
              <w:adjustRightInd w:val="0"/>
              <w:snapToGrid w:val="0"/>
              <w:spacing w:line="360" w:lineRule="exact"/>
              <w:rPr>
                <w:rFonts w:hint="eastAsia" w:ascii="宋体" w:hAnsi="宋体" w:cs="宋体"/>
                <w:bCs/>
                <w:color w:val="auto"/>
                <w:sz w:val="22"/>
                <w:highlight w:val="none"/>
              </w:rPr>
            </w:pPr>
          </w:p>
        </w:tc>
        <w:tc>
          <w:tcPr>
            <w:tcW w:w="0" w:type="auto"/>
          </w:tcPr>
          <w:p w14:paraId="27D08DE0">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1.注册年度及注册编号</w:t>
            </w:r>
          </w:p>
        </w:tc>
        <w:tc>
          <w:tcPr>
            <w:tcW w:w="0" w:type="auto"/>
          </w:tcPr>
          <w:p w14:paraId="74B080C3">
            <w:pPr>
              <w:adjustRightInd w:val="0"/>
              <w:snapToGrid w:val="0"/>
              <w:spacing w:line="360" w:lineRule="exact"/>
              <w:rPr>
                <w:rFonts w:hint="eastAsia" w:ascii="宋体" w:hAnsi="宋体" w:cs="宋体"/>
                <w:bCs/>
                <w:color w:val="auto"/>
                <w:sz w:val="22"/>
                <w:highlight w:val="none"/>
              </w:rPr>
            </w:pPr>
          </w:p>
        </w:tc>
        <w:tc>
          <w:tcPr>
            <w:tcW w:w="0" w:type="auto"/>
            <w:vMerge w:val="continue"/>
          </w:tcPr>
          <w:p w14:paraId="6D6F6C9C">
            <w:pPr>
              <w:adjustRightInd w:val="0"/>
              <w:snapToGrid w:val="0"/>
              <w:spacing w:line="360" w:lineRule="exact"/>
              <w:rPr>
                <w:rFonts w:hint="eastAsia" w:ascii="宋体" w:hAnsi="宋体" w:cs="宋体"/>
                <w:bCs/>
                <w:color w:val="auto"/>
                <w:sz w:val="22"/>
                <w:highlight w:val="none"/>
              </w:rPr>
            </w:pPr>
          </w:p>
        </w:tc>
      </w:tr>
      <w:tr w14:paraId="0859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0" w:type="auto"/>
            <w:vMerge w:val="continue"/>
          </w:tcPr>
          <w:p w14:paraId="7B84FD33">
            <w:pPr>
              <w:adjustRightInd w:val="0"/>
              <w:snapToGrid w:val="0"/>
              <w:spacing w:line="360" w:lineRule="exact"/>
              <w:rPr>
                <w:rFonts w:hint="eastAsia" w:ascii="宋体" w:hAnsi="宋体" w:cs="宋体"/>
                <w:bCs/>
                <w:color w:val="auto"/>
                <w:sz w:val="22"/>
                <w:highlight w:val="none"/>
              </w:rPr>
            </w:pPr>
          </w:p>
        </w:tc>
        <w:tc>
          <w:tcPr>
            <w:tcW w:w="0" w:type="auto"/>
          </w:tcPr>
          <w:p w14:paraId="35651F28">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2.注册资金（万元）：</w:t>
            </w:r>
          </w:p>
        </w:tc>
        <w:tc>
          <w:tcPr>
            <w:tcW w:w="0" w:type="auto"/>
          </w:tcPr>
          <w:p w14:paraId="48F2366A">
            <w:pPr>
              <w:adjustRightInd w:val="0"/>
              <w:snapToGrid w:val="0"/>
              <w:spacing w:line="360" w:lineRule="exact"/>
              <w:rPr>
                <w:rFonts w:hint="eastAsia" w:ascii="宋体" w:hAnsi="宋体" w:cs="宋体"/>
                <w:bCs/>
                <w:color w:val="auto"/>
                <w:sz w:val="22"/>
                <w:highlight w:val="none"/>
              </w:rPr>
            </w:pPr>
          </w:p>
        </w:tc>
        <w:tc>
          <w:tcPr>
            <w:tcW w:w="0" w:type="auto"/>
            <w:vMerge w:val="continue"/>
          </w:tcPr>
          <w:p w14:paraId="253EB666">
            <w:pPr>
              <w:adjustRightInd w:val="0"/>
              <w:snapToGrid w:val="0"/>
              <w:spacing w:line="360" w:lineRule="exact"/>
              <w:rPr>
                <w:rFonts w:hint="eastAsia" w:ascii="宋体" w:hAnsi="宋体" w:cs="宋体"/>
                <w:bCs/>
                <w:color w:val="auto"/>
                <w:sz w:val="22"/>
                <w:highlight w:val="none"/>
              </w:rPr>
            </w:pPr>
          </w:p>
        </w:tc>
      </w:tr>
      <w:tr w14:paraId="549C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0" w:type="auto"/>
            <w:vMerge w:val="continue"/>
          </w:tcPr>
          <w:p w14:paraId="69218F31">
            <w:pPr>
              <w:adjustRightInd w:val="0"/>
              <w:snapToGrid w:val="0"/>
              <w:spacing w:line="360" w:lineRule="exact"/>
              <w:rPr>
                <w:rFonts w:hint="eastAsia" w:ascii="宋体" w:hAnsi="宋体" w:cs="宋体"/>
                <w:bCs/>
                <w:color w:val="auto"/>
                <w:sz w:val="22"/>
                <w:highlight w:val="none"/>
              </w:rPr>
            </w:pPr>
          </w:p>
        </w:tc>
        <w:tc>
          <w:tcPr>
            <w:tcW w:w="0" w:type="auto"/>
          </w:tcPr>
          <w:p w14:paraId="507DB209">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3.经营场所：</w:t>
            </w:r>
          </w:p>
        </w:tc>
        <w:tc>
          <w:tcPr>
            <w:tcW w:w="0" w:type="auto"/>
          </w:tcPr>
          <w:p w14:paraId="65AD840D">
            <w:pPr>
              <w:adjustRightInd w:val="0"/>
              <w:snapToGrid w:val="0"/>
              <w:spacing w:line="360" w:lineRule="exact"/>
              <w:rPr>
                <w:rFonts w:hint="eastAsia" w:ascii="宋体" w:hAnsi="宋体" w:cs="宋体"/>
                <w:bCs/>
                <w:color w:val="auto"/>
                <w:sz w:val="22"/>
                <w:highlight w:val="none"/>
              </w:rPr>
            </w:pPr>
          </w:p>
        </w:tc>
        <w:tc>
          <w:tcPr>
            <w:tcW w:w="0" w:type="auto"/>
            <w:vMerge w:val="continue"/>
          </w:tcPr>
          <w:p w14:paraId="7C5865A7">
            <w:pPr>
              <w:adjustRightInd w:val="0"/>
              <w:snapToGrid w:val="0"/>
              <w:spacing w:line="360" w:lineRule="exact"/>
              <w:rPr>
                <w:rFonts w:hint="eastAsia" w:ascii="宋体" w:hAnsi="宋体" w:cs="宋体"/>
                <w:bCs/>
                <w:color w:val="auto"/>
                <w:sz w:val="22"/>
                <w:highlight w:val="none"/>
              </w:rPr>
            </w:pPr>
          </w:p>
        </w:tc>
      </w:tr>
      <w:tr w14:paraId="1483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0" w:type="auto"/>
            <w:vMerge w:val="continue"/>
          </w:tcPr>
          <w:p w14:paraId="19C46877">
            <w:pPr>
              <w:adjustRightInd w:val="0"/>
              <w:snapToGrid w:val="0"/>
              <w:spacing w:line="360" w:lineRule="exact"/>
              <w:rPr>
                <w:rFonts w:hint="eastAsia" w:ascii="宋体" w:hAnsi="宋体" w:cs="宋体"/>
                <w:bCs/>
                <w:color w:val="auto"/>
                <w:sz w:val="22"/>
                <w:highlight w:val="none"/>
              </w:rPr>
            </w:pPr>
          </w:p>
        </w:tc>
        <w:tc>
          <w:tcPr>
            <w:tcW w:w="0" w:type="auto"/>
          </w:tcPr>
          <w:p w14:paraId="5C168144">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4.有效期：</w:t>
            </w:r>
          </w:p>
        </w:tc>
        <w:tc>
          <w:tcPr>
            <w:tcW w:w="0" w:type="auto"/>
          </w:tcPr>
          <w:p w14:paraId="0DB7E767">
            <w:pPr>
              <w:adjustRightInd w:val="0"/>
              <w:snapToGrid w:val="0"/>
              <w:spacing w:line="360" w:lineRule="exact"/>
              <w:rPr>
                <w:rFonts w:hint="eastAsia" w:ascii="宋体" w:hAnsi="宋体" w:cs="宋体"/>
                <w:bCs/>
                <w:color w:val="auto"/>
                <w:sz w:val="22"/>
                <w:highlight w:val="none"/>
              </w:rPr>
            </w:pPr>
          </w:p>
        </w:tc>
        <w:tc>
          <w:tcPr>
            <w:tcW w:w="0" w:type="auto"/>
            <w:vMerge w:val="continue"/>
          </w:tcPr>
          <w:p w14:paraId="3CFCCCA2">
            <w:pPr>
              <w:adjustRightInd w:val="0"/>
              <w:snapToGrid w:val="0"/>
              <w:spacing w:line="360" w:lineRule="exact"/>
              <w:rPr>
                <w:rFonts w:hint="eastAsia" w:ascii="宋体" w:hAnsi="宋体" w:cs="宋体"/>
                <w:bCs/>
                <w:color w:val="auto"/>
                <w:sz w:val="22"/>
                <w:highlight w:val="none"/>
              </w:rPr>
            </w:pPr>
          </w:p>
        </w:tc>
      </w:tr>
      <w:tr w14:paraId="05FF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377BEC78">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二</w:t>
            </w:r>
          </w:p>
        </w:tc>
        <w:tc>
          <w:tcPr>
            <w:tcW w:w="0" w:type="auto"/>
          </w:tcPr>
          <w:p w14:paraId="3FCCCAD4">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税务登记证</w:t>
            </w:r>
          </w:p>
        </w:tc>
        <w:tc>
          <w:tcPr>
            <w:tcW w:w="0" w:type="auto"/>
          </w:tcPr>
          <w:p w14:paraId="1B0C9D62">
            <w:pPr>
              <w:adjustRightInd w:val="0"/>
              <w:snapToGrid w:val="0"/>
              <w:spacing w:line="360" w:lineRule="exact"/>
              <w:rPr>
                <w:rFonts w:hint="eastAsia" w:ascii="宋体" w:hAnsi="宋体" w:cs="宋体"/>
                <w:bCs/>
                <w:color w:val="auto"/>
                <w:sz w:val="22"/>
                <w:highlight w:val="none"/>
              </w:rPr>
            </w:pPr>
          </w:p>
        </w:tc>
        <w:tc>
          <w:tcPr>
            <w:tcW w:w="0" w:type="auto"/>
            <w:vMerge w:val="restart"/>
          </w:tcPr>
          <w:p w14:paraId="10AFEDB9">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提供复印件</w:t>
            </w:r>
          </w:p>
        </w:tc>
      </w:tr>
      <w:tr w14:paraId="1BDE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EDC62D3">
            <w:pPr>
              <w:adjustRightInd w:val="0"/>
              <w:snapToGrid w:val="0"/>
              <w:spacing w:line="360" w:lineRule="exact"/>
              <w:rPr>
                <w:rFonts w:hint="eastAsia" w:ascii="宋体" w:hAnsi="宋体" w:cs="宋体"/>
                <w:bCs/>
                <w:color w:val="auto"/>
                <w:sz w:val="22"/>
                <w:highlight w:val="none"/>
              </w:rPr>
            </w:pPr>
          </w:p>
        </w:tc>
        <w:tc>
          <w:tcPr>
            <w:tcW w:w="0" w:type="auto"/>
          </w:tcPr>
          <w:p w14:paraId="788DD4E5">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1.税务登记证编号：</w:t>
            </w:r>
          </w:p>
        </w:tc>
        <w:tc>
          <w:tcPr>
            <w:tcW w:w="0" w:type="auto"/>
          </w:tcPr>
          <w:p w14:paraId="3D55021A">
            <w:pPr>
              <w:adjustRightInd w:val="0"/>
              <w:snapToGrid w:val="0"/>
              <w:spacing w:line="360" w:lineRule="exact"/>
              <w:rPr>
                <w:rFonts w:hint="eastAsia" w:ascii="宋体" w:hAnsi="宋体" w:cs="宋体"/>
                <w:bCs/>
                <w:color w:val="auto"/>
                <w:sz w:val="22"/>
                <w:highlight w:val="none"/>
              </w:rPr>
            </w:pPr>
          </w:p>
        </w:tc>
        <w:tc>
          <w:tcPr>
            <w:tcW w:w="0" w:type="auto"/>
            <w:vMerge w:val="continue"/>
          </w:tcPr>
          <w:p w14:paraId="0EDB77A9">
            <w:pPr>
              <w:adjustRightInd w:val="0"/>
              <w:snapToGrid w:val="0"/>
              <w:spacing w:line="360" w:lineRule="exact"/>
              <w:rPr>
                <w:rFonts w:hint="eastAsia" w:ascii="宋体" w:hAnsi="宋体" w:cs="宋体"/>
                <w:bCs/>
                <w:color w:val="auto"/>
                <w:sz w:val="22"/>
                <w:highlight w:val="none"/>
              </w:rPr>
            </w:pPr>
          </w:p>
        </w:tc>
      </w:tr>
      <w:tr w14:paraId="6554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A2DF06D">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三</w:t>
            </w:r>
            <w:r>
              <w:rPr>
                <w:rFonts w:hint="eastAsia" w:ascii="宋体" w:hAnsi="宋体" w:cs="宋体"/>
                <w:bCs/>
                <w:color w:val="auto"/>
                <w:sz w:val="22"/>
                <w:highlight w:val="none"/>
              </w:rPr>
              <w:tab/>
            </w:r>
          </w:p>
        </w:tc>
        <w:tc>
          <w:tcPr>
            <w:tcW w:w="0" w:type="auto"/>
          </w:tcPr>
          <w:p w14:paraId="341B23CF">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其他资格（质）证书</w:t>
            </w:r>
          </w:p>
        </w:tc>
        <w:tc>
          <w:tcPr>
            <w:tcW w:w="0" w:type="auto"/>
          </w:tcPr>
          <w:p w14:paraId="14ABA98C">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（若有其他资质证书，可按表格格式扩展</w:t>
            </w:r>
          </w:p>
        </w:tc>
        <w:tc>
          <w:tcPr>
            <w:tcW w:w="0" w:type="auto"/>
            <w:vMerge w:val="restart"/>
          </w:tcPr>
          <w:p w14:paraId="1244DEF2">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提供复印件</w:t>
            </w:r>
          </w:p>
          <w:p w14:paraId="580BD133">
            <w:pPr>
              <w:adjustRightInd w:val="0"/>
              <w:snapToGrid w:val="0"/>
              <w:spacing w:line="360" w:lineRule="exact"/>
              <w:rPr>
                <w:rFonts w:hint="eastAsia" w:ascii="宋体" w:hAnsi="宋体" w:cs="宋体"/>
                <w:bCs/>
                <w:color w:val="auto"/>
                <w:sz w:val="22"/>
                <w:highlight w:val="none"/>
              </w:rPr>
            </w:pPr>
          </w:p>
        </w:tc>
      </w:tr>
      <w:tr w14:paraId="51C9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38F34DDE">
            <w:pPr>
              <w:adjustRightInd w:val="0"/>
              <w:snapToGrid w:val="0"/>
              <w:spacing w:line="360" w:lineRule="exact"/>
              <w:rPr>
                <w:rFonts w:hint="eastAsia" w:ascii="宋体" w:hAnsi="宋体" w:cs="宋体"/>
                <w:bCs/>
                <w:color w:val="auto"/>
                <w:sz w:val="22"/>
                <w:highlight w:val="none"/>
              </w:rPr>
            </w:pPr>
          </w:p>
        </w:tc>
        <w:tc>
          <w:tcPr>
            <w:tcW w:w="0" w:type="auto"/>
          </w:tcPr>
          <w:p w14:paraId="0AD27D46">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1.证书名称</w:t>
            </w:r>
            <w:r>
              <w:rPr>
                <w:rFonts w:hint="eastAsia" w:ascii="宋体" w:hAnsi="宋体" w:cs="宋体"/>
                <w:bCs/>
                <w:color w:val="auto"/>
                <w:sz w:val="22"/>
                <w:highlight w:val="none"/>
              </w:rPr>
              <w:tab/>
            </w:r>
          </w:p>
        </w:tc>
        <w:tc>
          <w:tcPr>
            <w:tcW w:w="0" w:type="auto"/>
          </w:tcPr>
          <w:p w14:paraId="37D3DAE7">
            <w:pPr>
              <w:adjustRightInd w:val="0"/>
              <w:snapToGrid w:val="0"/>
              <w:spacing w:line="360" w:lineRule="exact"/>
              <w:rPr>
                <w:rFonts w:hint="eastAsia" w:ascii="宋体" w:hAnsi="宋体" w:cs="宋体"/>
                <w:bCs/>
                <w:color w:val="auto"/>
                <w:sz w:val="22"/>
                <w:highlight w:val="none"/>
              </w:rPr>
            </w:pPr>
          </w:p>
        </w:tc>
        <w:tc>
          <w:tcPr>
            <w:tcW w:w="0" w:type="auto"/>
            <w:vMerge w:val="continue"/>
          </w:tcPr>
          <w:p w14:paraId="520C6AAF">
            <w:pPr>
              <w:adjustRightInd w:val="0"/>
              <w:snapToGrid w:val="0"/>
              <w:spacing w:line="360" w:lineRule="exact"/>
              <w:rPr>
                <w:rFonts w:hint="eastAsia" w:ascii="宋体" w:hAnsi="宋体" w:cs="宋体"/>
                <w:bCs/>
                <w:color w:val="auto"/>
                <w:sz w:val="22"/>
                <w:highlight w:val="none"/>
              </w:rPr>
            </w:pPr>
          </w:p>
        </w:tc>
      </w:tr>
      <w:tr w14:paraId="4340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225B930">
            <w:pPr>
              <w:adjustRightInd w:val="0"/>
              <w:snapToGrid w:val="0"/>
              <w:spacing w:line="360" w:lineRule="exact"/>
              <w:rPr>
                <w:rFonts w:hint="eastAsia" w:ascii="宋体" w:hAnsi="宋体" w:cs="宋体"/>
                <w:bCs/>
                <w:color w:val="auto"/>
                <w:sz w:val="22"/>
                <w:highlight w:val="none"/>
              </w:rPr>
            </w:pPr>
          </w:p>
        </w:tc>
        <w:tc>
          <w:tcPr>
            <w:tcW w:w="0" w:type="auto"/>
          </w:tcPr>
          <w:p w14:paraId="00360750">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2.批准单位</w:t>
            </w:r>
          </w:p>
        </w:tc>
        <w:tc>
          <w:tcPr>
            <w:tcW w:w="0" w:type="auto"/>
          </w:tcPr>
          <w:p w14:paraId="3C090BCA">
            <w:pPr>
              <w:adjustRightInd w:val="0"/>
              <w:snapToGrid w:val="0"/>
              <w:spacing w:line="360" w:lineRule="exact"/>
              <w:rPr>
                <w:rFonts w:hint="eastAsia" w:ascii="宋体" w:hAnsi="宋体" w:cs="宋体"/>
                <w:bCs/>
                <w:color w:val="auto"/>
                <w:sz w:val="22"/>
                <w:highlight w:val="none"/>
              </w:rPr>
            </w:pPr>
          </w:p>
        </w:tc>
        <w:tc>
          <w:tcPr>
            <w:tcW w:w="0" w:type="auto"/>
            <w:vMerge w:val="continue"/>
          </w:tcPr>
          <w:p w14:paraId="6C57A8D0">
            <w:pPr>
              <w:adjustRightInd w:val="0"/>
              <w:snapToGrid w:val="0"/>
              <w:spacing w:line="360" w:lineRule="exact"/>
              <w:rPr>
                <w:rFonts w:hint="eastAsia" w:ascii="宋体" w:hAnsi="宋体" w:cs="宋体"/>
                <w:bCs/>
                <w:color w:val="auto"/>
                <w:sz w:val="22"/>
                <w:highlight w:val="none"/>
              </w:rPr>
            </w:pPr>
          </w:p>
        </w:tc>
      </w:tr>
      <w:tr w14:paraId="2E51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732A20B">
            <w:pPr>
              <w:adjustRightInd w:val="0"/>
              <w:snapToGrid w:val="0"/>
              <w:spacing w:line="360" w:lineRule="exact"/>
              <w:rPr>
                <w:rFonts w:hint="eastAsia" w:ascii="宋体" w:hAnsi="宋体" w:cs="宋体"/>
                <w:bCs/>
                <w:color w:val="auto"/>
                <w:sz w:val="22"/>
                <w:highlight w:val="none"/>
              </w:rPr>
            </w:pPr>
          </w:p>
        </w:tc>
        <w:tc>
          <w:tcPr>
            <w:tcW w:w="0" w:type="auto"/>
          </w:tcPr>
          <w:p w14:paraId="678793B6">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3.等级</w:t>
            </w:r>
          </w:p>
        </w:tc>
        <w:tc>
          <w:tcPr>
            <w:tcW w:w="0" w:type="auto"/>
          </w:tcPr>
          <w:p w14:paraId="500494AB">
            <w:pPr>
              <w:adjustRightInd w:val="0"/>
              <w:snapToGrid w:val="0"/>
              <w:spacing w:line="360" w:lineRule="exact"/>
              <w:rPr>
                <w:rFonts w:hint="eastAsia" w:ascii="宋体" w:hAnsi="宋体" w:cs="宋体"/>
                <w:bCs/>
                <w:color w:val="auto"/>
                <w:sz w:val="22"/>
                <w:highlight w:val="none"/>
              </w:rPr>
            </w:pPr>
          </w:p>
        </w:tc>
        <w:tc>
          <w:tcPr>
            <w:tcW w:w="0" w:type="auto"/>
            <w:vMerge w:val="continue"/>
          </w:tcPr>
          <w:p w14:paraId="7D04FB4B">
            <w:pPr>
              <w:adjustRightInd w:val="0"/>
              <w:snapToGrid w:val="0"/>
              <w:spacing w:line="360" w:lineRule="exact"/>
              <w:rPr>
                <w:rFonts w:hint="eastAsia" w:ascii="宋体" w:hAnsi="宋体" w:cs="宋体"/>
                <w:bCs/>
                <w:color w:val="auto"/>
                <w:sz w:val="22"/>
                <w:highlight w:val="none"/>
              </w:rPr>
            </w:pPr>
          </w:p>
        </w:tc>
      </w:tr>
      <w:tr w14:paraId="3E44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AC7090F">
            <w:pPr>
              <w:adjustRightInd w:val="0"/>
              <w:snapToGrid w:val="0"/>
              <w:spacing w:line="360" w:lineRule="exact"/>
              <w:rPr>
                <w:rFonts w:hint="eastAsia" w:ascii="宋体" w:hAnsi="宋体" w:cs="宋体"/>
                <w:bCs/>
                <w:color w:val="auto"/>
                <w:sz w:val="22"/>
                <w:highlight w:val="none"/>
              </w:rPr>
            </w:pPr>
          </w:p>
        </w:tc>
        <w:tc>
          <w:tcPr>
            <w:tcW w:w="0" w:type="auto"/>
          </w:tcPr>
          <w:p w14:paraId="3485A26F">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4.批准时间及编号</w:t>
            </w:r>
          </w:p>
        </w:tc>
        <w:tc>
          <w:tcPr>
            <w:tcW w:w="0" w:type="auto"/>
          </w:tcPr>
          <w:p w14:paraId="25141FB8">
            <w:pPr>
              <w:adjustRightInd w:val="0"/>
              <w:snapToGrid w:val="0"/>
              <w:spacing w:line="360" w:lineRule="exact"/>
              <w:rPr>
                <w:rFonts w:hint="eastAsia" w:ascii="宋体" w:hAnsi="宋体" w:cs="宋体"/>
                <w:bCs/>
                <w:color w:val="auto"/>
                <w:sz w:val="22"/>
                <w:highlight w:val="none"/>
              </w:rPr>
            </w:pPr>
          </w:p>
        </w:tc>
        <w:tc>
          <w:tcPr>
            <w:tcW w:w="0" w:type="auto"/>
            <w:vMerge w:val="continue"/>
          </w:tcPr>
          <w:p w14:paraId="2C7B8A19">
            <w:pPr>
              <w:adjustRightInd w:val="0"/>
              <w:snapToGrid w:val="0"/>
              <w:spacing w:line="360" w:lineRule="exact"/>
              <w:rPr>
                <w:rFonts w:hint="eastAsia" w:ascii="宋体" w:hAnsi="宋体" w:cs="宋体"/>
                <w:bCs/>
                <w:color w:val="auto"/>
                <w:sz w:val="22"/>
                <w:highlight w:val="none"/>
              </w:rPr>
            </w:pPr>
          </w:p>
        </w:tc>
      </w:tr>
      <w:tr w14:paraId="4544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6729A1A">
            <w:pPr>
              <w:adjustRightInd w:val="0"/>
              <w:snapToGrid w:val="0"/>
              <w:spacing w:line="360" w:lineRule="exact"/>
              <w:rPr>
                <w:rFonts w:hint="eastAsia" w:ascii="宋体" w:hAnsi="宋体" w:cs="宋体"/>
                <w:bCs/>
                <w:color w:val="auto"/>
                <w:sz w:val="22"/>
                <w:highlight w:val="none"/>
              </w:rPr>
            </w:pPr>
          </w:p>
        </w:tc>
        <w:tc>
          <w:tcPr>
            <w:tcW w:w="0" w:type="auto"/>
          </w:tcPr>
          <w:p w14:paraId="7E4B2EE7">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5.有效期</w:t>
            </w:r>
            <w:r>
              <w:rPr>
                <w:rFonts w:hint="eastAsia" w:ascii="宋体" w:hAnsi="宋体" w:cs="宋体"/>
                <w:bCs/>
                <w:color w:val="auto"/>
                <w:sz w:val="22"/>
                <w:highlight w:val="none"/>
              </w:rPr>
              <w:tab/>
            </w:r>
          </w:p>
        </w:tc>
        <w:tc>
          <w:tcPr>
            <w:tcW w:w="0" w:type="auto"/>
          </w:tcPr>
          <w:p w14:paraId="2C402141">
            <w:pPr>
              <w:adjustRightInd w:val="0"/>
              <w:snapToGrid w:val="0"/>
              <w:spacing w:line="360" w:lineRule="exact"/>
              <w:rPr>
                <w:rFonts w:hint="eastAsia" w:ascii="宋体" w:hAnsi="宋体" w:cs="宋体"/>
                <w:bCs/>
                <w:color w:val="auto"/>
                <w:sz w:val="22"/>
                <w:highlight w:val="none"/>
              </w:rPr>
            </w:pPr>
          </w:p>
        </w:tc>
        <w:tc>
          <w:tcPr>
            <w:tcW w:w="0" w:type="auto"/>
            <w:vMerge w:val="continue"/>
          </w:tcPr>
          <w:p w14:paraId="2E1D8FF6">
            <w:pPr>
              <w:adjustRightInd w:val="0"/>
              <w:snapToGrid w:val="0"/>
              <w:spacing w:line="360" w:lineRule="exact"/>
              <w:rPr>
                <w:rFonts w:hint="eastAsia" w:ascii="宋体" w:hAnsi="宋体" w:cs="宋体"/>
                <w:bCs/>
                <w:color w:val="auto"/>
                <w:sz w:val="22"/>
                <w:highlight w:val="none"/>
              </w:rPr>
            </w:pPr>
          </w:p>
        </w:tc>
      </w:tr>
      <w:tr w14:paraId="0BAF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B0F355B">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四</w:t>
            </w:r>
          </w:p>
        </w:tc>
        <w:tc>
          <w:tcPr>
            <w:tcW w:w="0" w:type="auto"/>
          </w:tcPr>
          <w:p w14:paraId="0BDA73E8">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其他</w:t>
            </w:r>
          </w:p>
        </w:tc>
        <w:tc>
          <w:tcPr>
            <w:tcW w:w="0" w:type="auto"/>
          </w:tcPr>
          <w:p w14:paraId="37D75B83">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投标人认为需补充的其他说明</w:t>
            </w:r>
          </w:p>
        </w:tc>
        <w:tc>
          <w:tcPr>
            <w:tcW w:w="0" w:type="auto"/>
          </w:tcPr>
          <w:p w14:paraId="26150037">
            <w:pPr>
              <w:adjustRightInd w:val="0"/>
              <w:snapToGrid w:val="0"/>
              <w:spacing w:line="360" w:lineRule="exact"/>
              <w:rPr>
                <w:rFonts w:hint="eastAsia" w:ascii="宋体" w:hAnsi="宋体" w:cs="宋体"/>
                <w:bCs/>
                <w:color w:val="auto"/>
                <w:sz w:val="22"/>
                <w:highlight w:val="none"/>
              </w:rPr>
            </w:pPr>
          </w:p>
        </w:tc>
      </w:tr>
      <w:tr w14:paraId="32D8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E9469BB">
            <w:pPr>
              <w:adjustRightInd w:val="0"/>
              <w:snapToGrid w:val="0"/>
              <w:spacing w:line="360" w:lineRule="exact"/>
              <w:rPr>
                <w:rFonts w:hint="eastAsia" w:ascii="宋体" w:hAnsi="宋体" w:cs="宋体"/>
                <w:bCs/>
                <w:color w:val="auto"/>
                <w:sz w:val="22"/>
                <w:highlight w:val="none"/>
              </w:rPr>
            </w:pPr>
          </w:p>
        </w:tc>
        <w:tc>
          <w:tcPr>
            <w:tcW w:w="0" w:type="auto"/>
          </w:tcPr>
          <w:p w14:paraId="0D6B9EDD">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1.……………………</w:t>
            </w:r>
          </w:p>
        </w:tc>
        <w:tc>
          <w:tcPr>
            <w:tcW w:w="0" w:type="auto"/>
          </w:tcPr>
          <w:p w14:paraId="2A0A47D0">
            <w:pPr>
              <w:adjustRightInd w:val="0"/>
              <w:snapToGrid w:val="0"/>
              <w:spacing w:line="360" w:lineRule="exact"/>
              <w:rPr>
                <w:rFonts w:hint="eastAsia" w:ascii="宋体" w:hAnsi="宋体" w:cs="宋体"/>
                <w:bCs/>
                <w:color w:val="auto"/>
                <w:sz w:val="22"/>
                <w:highlight w:val="none"/>
              </w:rPr>
            </w:pPr>
          </w:p>
        </w:tc>
        <w:tc>
          <w:tcPr>
            <w:tcW w:w="0" w:type="auto"/>
          </w:tcPr>
          <w:p w14:paraId="5519545D">
            <w:pPr>
              <w:adjustRightInd w:val="0"/>
              <w:snapToGrid w:val="0"/>
              <w:spacing w:line="360" w:lineRule="exact"/>
              <w:rPr>
                <w:rFonts w:hint="eastAsia" w:ascii="宋体" w:hAnsi="宋体" w:cs="宋体"/>
                <w:bCs/>
                <w:color w:val="auto"/>
                <w:sz w:val="22"/>
                <w:highlight w:val="none"/>
              </w:rPr>
            </w:pPr>
          </w:p>
        </w:tc>
      </w:tr>
    </w:tbl>
    <w:p w14:paraId="4A8692C0">
      <w:pPr>
        <w:adjustRightInd w:val="0"/>
        <w:snapToGrid w:val="0"/>
        <w:spacing w:line="360" w:lineRule="exact"/>
        <w:rPr>
          <w:rFonts w:hint="eastAsia" w:ascii="宋体" w:hAnsi="宋体" w:cs="宋体"/>
          <w:b/>
          <w:color w:val="auto"/>
          <w:sz w:val="22"/>
          <w:highlight w:val="none"/>
        </w:rPr>
      </w:pPr>
      <w:r>
        <w:rPr>
          <w:rFonts w:hint="eastAsia" w:ascii="宋体" w:hAnsi="宋体" w:cs="宋体"/>
          <w:bCs/>
          <w:color w:val="auto"/>
          <w:sz w:val="22"/>
          <w:highlight w:val="none"/>
        </w:rPr>
        <w:tab/>
      </w:r>
      <w:r>
        <w:rPr>
          <w:rFonts w:hint="eastAsia" w:ascii="宋体" w:hAnsi="宋体" w:cs="宋体"/>
          <w:bCs/>
          <w:color w:val="auto"/>
          <w:sz w:val="22"/>
          <w:highlight w:val="none"/>
        </w:rPr>
        <w:t>注：在按要求填写好此表格后，各投标单位可以用其它的方式，就公司整体情况作出详细的介绍（可以提供相应文字、照片等）。</w:t>
      </w:r>
    </w:p>
    <w:p w14:paraId="2766994E">
      <w:pPr>
        <w:numPr>
          <w:ilvl w:val="0"/>
          <w:numId w:val="10"/>
        </w:numPr>
        <w:adjustRightInd w:val="0"/>
        <w:snapToGrid w:val="0"/>
        <w:spacing w:line="360" w:lineRule="exact"/>
        <w:rPr>
          <w:b/>
          <w:color w:val="auto"/>
          <w:sz w:val="22"/>
          <w:highlight w:val="none"/>
        </w:rPr>
      </w:pPr>
      <w:r>
        <w:rPr>
          <w:b/>
          <w:color w:val="auto"/>
          <w:sz w:val="22"/>
          <w:highlight w:val="none"/>
        </w:rPr>
        <w:t>供应商资格证明文件</w:t>
      </w:r>
    </w:p>
    <w:p w14:paraId="2DA7C50F">
      <w:pPr>
        <w:pStyle w:val="42"/>
        <w:spacing w:after="0" w:line="360" w:lineRule="exact"/>
        <w:ind w:left="0" w:leftChars="0" w:firstLine="0" w:firstLineChars="0"/>
        <w:rPr>
          <w:rFonts w:ascii="Times New Roman" w:hAnsi="Times New Roman"/>
          <w:bCs/>
          <w:color w:val="auto"/>
          <w:sz w:val="22"/>
          <w:szCs w:val="22"/>
          <w:highlight w:val="none"/>
        </w:rPr>
      </w:pPr>
      <w:r>
        <w:rPr>
          <w:rFonts w:ascii="Times New Roman" w:hAnsi="Times New Roman"/>
          <w:color w:val="auto"/>
          <w:sz w:val="22"/>
          <w:szCs w:val="22"/>
          <w:highlight w:val="none"/>
        </w:rPr>
        <w:t>（</w:t>
      </w:r>
      <w:r>
        <w:rPr>
          <w:rFonts w:ascii="Times New Roman" w:hAnsi="Times New Roman"/>
          <w:bCs/>
          <w:color w:val="auto"/>
          <w:sz w:val="22"/>
          <w:szCs w:val="22"/>
          <w:highlight w:val="none"/>
        </w:rPr>
        <w:t>1）营业执照（或单位法人登记证等）复印件；</w:t>
      </w:r>
    </w:p>
    <w:p w14:paraId="390A8BD0">
      <w:pPr>
        <w:pStyle w:val="42"/>
        <w:spacing w:after="0" w:line="360" w:lineRule="exact"/>
        <w:ind w:left="0" w:leftChars="0" w:firstLine="0" w:firstLineChars="0"/>
        <w:rPr>
          <w:rFonts w:ascii="Times New Roman" w:hAnsi="Times New Roman"/>
          <w:b/>
          <w:color w:val="auto"/>
          <w:sz w:val="22"/>
          <w:szCs w:val="22"/>
          <w:highlight w:val="none"/>
        </w:rPr>
      </w:pPr>
      <w:r>
        <w:rPr>
          <w:rFonts w:ascii="Times New Roman" w:hAnsi="Times New Roman"/>
          <w:b/>
          <w:color w:val="auto"/>
          <w:sz w:val="22"/>
          <w:szCs w:val="22"/>
          <w:highlight w:val="none"/>
        </w:rPr>
        <w:t>（2）</w:t>
      </w:r>
      <w:r>
        <w:rPr>
          <w:rFonts w:hint="eastAsia" w:ascii="Times New Roman" w:hAnsi="Times New Roman"/>
          <w:b/>
          <w:color w:val="auto"/>
          <w:sz w:val="22"/>
          <w:szCs w:val="22"/>
          <w:highlight w:val="none"/>
        </w:rPr>
        <w:t>提供招标公告中关于投标人资格要求的相关资格证明文件复印件</w:t>
      </w:r>
      <w:r>
        <w:rPr>
          <w:rFonts w:ascii="Times New Roman" w:hAnsi="Times New Roman"/>
          <w:b/>
          <w:color w:val="auto"/>
          <w:sz w:val="22"/>
          <w:szCs w:val="22"/>
          <w:highlight w:val="none"/>
        </w:rPr>
        <w:t>。</w:t>
      </w:r>
    </w:p>
    <w:p w14:paraId="6D8097CD">
      <w:pPr>
        <w:rPr>
          <w:b/>
          <w:color w:val="auto"/>
          <w:sz w:val="22"/>
          <w:highlight w:val="none"/>
        </w:rPr>
      </w:pPr>
    </w:p>
    <w:p w14:paraId="5A69E5CE">
      <w:pPr>
        <w:pStyle w:val="17"/>
        <w:rPr>
          <w:bCs w:val="0"/>
          <w:color w:val="auto"/>
          <w:sz w:val="22"/>
          <w:szCs w:val="22"/>
          <w:highlight w:val="none"/>
        </w:rPr>
      </w:pPr>
    </w:p>
    <w:p w14:paraId="5D4225A4">
      <w:pPr>
        <w:rPr>
          <w:b/>
          <w:color w:val="auto"/>
          <w:sz w:val="22"/>
          <w:highlight w:val="none"/>
        </w:rPr>
      </w:pPr>
    </w:p>
    <w:p w14:paraId="3251FA33">
      <w:pPr>
        <w:pStyle w:val="17"/>
        <w:rPr>
          <w:bCs w:val="0"/>
          <w:color w:val="auto"/>
          <w:sz w:val="22"/>
          <w:szCs w:val="22"/>
          <w:highlight w:val="none"/>
        </w:rPr>
      </w:pPr>
    </w:p>
    <w:p w14:paraId="013F2667">
      <w:pPr>
        <w:rPr>
          <w:b/>
          <w:color w:val="auto"/>
          <w:sz w:val="22"/>
          <w:highlight w:val="none"/>
        </w:rPr>
      </w:pPr>
    </w:p>
    <w:p w14:paraId="08AC575A">
      <w:pPr>
        <w:pStyle w:val="17"/>
        <w:rPr>
          <w:bCs w:val="0"/>
          <w:color w:val="auto"/>
          <w:sz w:val="22"/>
          <w:szCs w:val="22"/>
          <w:highlight w:val="none"/>
        </w:rPr>
      </w:pPr>
    </w:p>
    <w:p w14:paraId="6818D6EA">
      <w:pPr>
        <w:rPr>
          <w:b/>
          <w:color w:val="auto"/>
          <w:sz w:val="22"/>
          <w:highlight w:val="none"/>
        </w:rPr>
      </w:pPr>
    </w:p>
    <w:p w14:paraId="25213967">
      <w:pPr>
        <w:pStyle w:val="17"/>
        <w:rPr>
          <w:bCs w:val="0"/>
          <w:color w:val="auto"/>
          <w:sz w:val="22"/>
          <w:szCs w:val="22"/>
          <w:highlight w:val="none"/>
        </w:rPr>
      </w:pPr>
    </w:p>
    <w:p w14:paraId="3A6D8B4D">
      <w:pPr>
        <w:rPr>
          <w:b/>
          <w:color w:val="auto"/>
          <w:sz w:val="22"/>
          <w:highlight w:val="none"/>
        </w:rPr>
      </w:pPr>
    </w:p>
    <w:p w14:paraId="5D3AB181">
      <w:pPr>
        <w:pStyle w:val="17"/>
        <w:rPr>
          <w:color w:val="auto"/>
          <w:highlight w:val="none"/>
        </w:rPr>
      </w:pPr>
    </w:p>
    <w:p w14:paraId="73D88847">
      <w:pPr>
        <w:numPr>
          <w:ilvl w:val="0"/>
          <w:numId w:val="10"/>
        </w:numPr>
        <w:adjustRightInd w:val="0"/>
        <w:snapToGrid w:val="0"/>
        <w:spacing w:line="360" w:lineRule="exact"/>
        <w:rPr>
          <w:b/>
          <w:color w:val="auto"/>
          <w:sz w:val="22"/>
          <w:highlight w:val="none"/>
        </w:rPr>
      </w:pPr>
      <w:r>
        <w:rPr>
          <w:b/>
          <w:color w:val="auto"/>
          <w:sz w:val="22"/>
          <w:highlight w:val="none"/>
        </w:rPr>
        <w:t>“关键信息-评标信息”规定的公司业绩、已做项目简介</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027"/>
        <w:gridCol w:w="1151"/>
        <w:gridCol w:w="1182"/>
        <w:gridCol w:w="1165"/>
        <w:gridCol w:w="1166"/>
        <w:gridCol w:w="905"/>
        <w:gridCol w:w="1166"/>
      </w:tblGrid>
      <w:tr w14:paraId="3392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pct"/>
            <w:vAlign w:val="center"/>
          </w:tcPr>
          <w:p w14:paraId="5091949C">
            <w:pPr>
              <w:adjustRightInd w:val="0"/>
              <w:snapToGrid w:val="0"/>
              <w:spacing w:line="360" w:lineRule="exact"/>
              <w:jc w:val="center"/>
              <w:rPr>
                <w:bCs/>
                <w:color w:val="auto"/>
                <w:sz w:val="22"/>
                <w:highlight w:val="none"/>
              </w:rPr>
            </w:pPr>
            <w:r>
              <w:rPr>
                <w:bCs/>
                <w:color w:val="auto"/>
                <w:sz w:val="22"/>
                <w:highlight w:val="none"/>
              </w:rPr>
              <w:t>序号</w:t>
            </w:r>
          </w:p>
        </w:tc>
        <w:tc>
          <w:tcPr>
            <w:tcW w:w="602" w:type="pct"/>
            <w:vAlign w:val="center"/>
          </w:tcPr>
          <w:p w14:paraId="23631980">
            <w:pPr>
              <w:adjustRightInd w:val="0"/>
              <w:snapToGrid w:val="0"/>
              <w:spacing w:line="360" w:lineRule="exact"/>
              <w:jc w:val="center"/>
              <w:rPr>
                <w:bCs/>
                <w:color w:val="auto"/>
                <w:sz w:val="22"/>
                <w:highlight w:val="none"/>
              </w:rPr>
            </w:pPr>
            <w:r>
              <w:rPr>
                <w:bCs/>
                <w:color w:val="auto"/>
                <w:sz w:val="22"/>
                <w:highlight w:val="none"/>
              </w:rPr>
              <w:t>采购人</w:t>
            </w:r>
          </w:p>
        </w:tc>
        <w:tc>
          <w:tcPr>
            <w:tcW w:w="675" w:type="pct"/>
            <w:vAlign w:val="center"/>
          </w:tcPr>
          <w:p w14:paraId="343F352E">
            <w:pPr>
              <w:adjustRightInd w:val="0"/>
              <w:snapToGrid w:val="0"/>
              <w:spacing w:line="360" w:lineRule="exact"/>
              <w:jc w:val="center"/>
              <w:rPr>
                <w:bCs/>
                <w:color w:val="auto"/>
                <w:sz w:val="22"/>
                <w:highlight w:val="none"/>
              </w:rPr>
            </w:pPr>
            <w:r>
              <w:rPr>
                <w:bCs/>
                <w:color w:val="auto"/>
                <w:sz w:val="22"/>
                <w:highlight w:val="none"/>
              </w:rPr>
              <w:t>项目名称</w:t>
            </w:r>
          </w:p>
        </w:tc>
        <w:tc>
          <w:tcPr>
            <w:tcW w:w="693" w:type="pct"/>
            <w:vAlign w:val="center"/>
          </w:tcPr>
          <w:p w14:paraId="3EF30FFF">
            <w:pPr>
              <w:adjustRightInd w:val="0"/>
              <w:snapToGrid w:val="0"/>
              <w:spacing w:line="360" w:lineRule="exact"/>
              <w:jc w:val="center"/>
              <w:rPr>
                <w:bCs/>
                <w:color w:val="auto"/>
                <w:sz w:val="22"/>
                <w:highlight w:val="none"/>
              </w:rPr>
            </w:pPr>
            <w:r>
              <w:rPr>
                <w:bCs/>
                <w:color w:val="auto"/>
                <w:sz w:val="22"/>
                <w:highlight w:val="none"/>
              </w:rPr>
              <w:t>规模（金额/元）</w:t>
            </w:r>
          </w:p>
        </w:tc>
        <w:tc>
          <w:tcPr>
            <w:tcW w:w="683" w:type="pct"/>
            <w:vAlign w:val="center"/>
          </w:tcPr>
          <w:p w14:paraId="44AA9D66">
            <w:pPr>
              <w:adjustRightInd w:val="0"/>
              <w:snapToGrid w:val="0"/>
              <w:spacing w:line="360" w:lineRule="exact"/>
              <w:jc w:val="center"/>
              <w:rPr>
                <w:bCs/>
                <w:color w:val="auto"/>
                <w:sz w:val="22"/>
                <w:highlight w:val="none"/>
              </w:rPr>
            </w:pPr>
            <w:r>
              <w:rPr>
                <w:bCs/>
                <w:color w:val="auto"/>
                <w:sz w:val="22"/>
                <w:highlight w:val="none"/>
              </w:rPr>
              <w:t>完成时间</w:t>
            </w:r>
          </w:p>
        </w:tc>
        <w:tc>
          <w:tcPr>
            <w:tcW w:w="684" w:type="pct"/>
            <w:vAlign w:val="center"/>
          </w:tcPr>
          <w:p w14:paraId="3FEAA0D5">
            <w:pPr>
              <w:adjustRightInd w:val="0"/>
              <w:snapToGrid w:val="0"/>
              <w:spacing w:line="360" w:lineRule="exact"/>
              <w:jc w:val="center"/>
              <w:rPr>
                <w:bCs/>
                <w:color w:val="auto"/>
                <w:sz w:val="22"/>
                <w:highlight w:val="none"/>
              </w:rPr>
            </w:pPr>
            <w:r>
              <w:rPr>
                <w:bCs/>
                <w:color w:val="auto"/>
                <w:sz w:val="22"/>
                <w:highlight w:val="none"/>
              </w:rPr>
              <w:t>运行情况</w:t>
            </w:r>
          </w:p>
        </w:tc>
        <w:tc>
          <w:tcPr>
            <w:tcW w:w="531" w:type="pct"/>
            <w:vAlign w:val="center"/>
          </w:tcPr>
          <w:p w14:paraId="68C946B7">
            <w:pPr>
              <w:adjustRightInd w:val="0"/>
              <w:snapToGrid w:val="0"/>
              <w:spacing w:line="360" w:lineRule="exact"/>
              <w:jc w:val="center"/>
              <w:rPr>
                <w:bCs/>
                <w:color w:val="auto"/>
                <w:sz w:val="22"/>
                <w:highlight w:val="none"/>
              </w:rPr>
            </w:pPr>
            <w:r>
              <w:rPr>
                <w:bCs/>
                <w:color w:val="auto"/>
                <w:sz w:val="22"/>
                <w:highlight w:val="none"/>
              </w:rPr>
              <w:t>联系人</w:t>
            </w:r>
          </w:p>
        </w:tc>
        <w:tc>
          <w:tcPr>
            <w:tcW w:w="684" w:type="pct"/>
            <w:vAlign w:val="center"/>
          </w:tcPr>
          <w:p w14:paraId="382A8BA7">
            <w:pPr>
              <w:adjustRightInd w:val="0"/>
              <w:snapToGrid w:val="0"/>
              <w:spacing w:line="360" w:lineRule="exact"/>
              <w:jc w:val="center"/>
              <w:rPr>
                <w:bCs/>
                <w:color w:val="auto"/>
                <w:sz w:val="22"/>
                <w:highlight w:val="none"/>
              </w:rPr>
            </w:pPr>
            <w:r>
              <w:rPr>
                <w:bCs/>
                <w:color w:val="auto"/>
                <w:sz w:val="22"/>
                <w:highlight w:val="none"/>
              </w:rPr>
              <w:t>联系方式</w:t>
            </w:r>
          </w:p>
        </w:tc>
      </w:tr>
      <w:tr w14:paraId="0E2D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pct"/>
          </w:tcPr>
          <w:p w14:paraId="2F9B0785">
            <w:pPr>
              <w:adjustRightInd w:val="0"/>
              <w:snapToGrid w:val="0"/>
              <w:spacing w:line="360" w:lineRule="exact"/>
              <w:rPr>
                <w:bCs/>
                <w:color w:val="auto"/>
                <w:sz w:val="22"/>
                <w:highlight w:val="none"/>
              </w:rPr>
            </w:pPr>
          </w:p>
        </w:tc>
        <w:tc>
          <w:tcPr>
            <w:tcW w:w="602" w:type="pct"/>
          </w:tcPr>
          <w:p w14:paraId="4519D776">
            <w:pPr>
              <w:adjustRightInd w:val="0"/>
              <w:snapToGrid w:val="0"/>
              <w:spacing w:line="360" w:lineRule="exact"/>
              <w:rPr>
                <w:bCs/>
                <w:color w:val="auto"/>
                <w:sz w:val="22"/>
                <w:highlight w:val="none"/>
              </w:rPr>
            </w:pPr>
          </w:p>
        </w:tc>
        <w:tc>
          <w:tcPr>
            <w:tcW w:w="675" w:type="pct"/>
          </w:tcPr>
          <w:p w14:paraId="31265412">
            <w:pPr>
              <w:adjustRightInd w:val="0"/>
              <w:snapToGrid w:val="0"/>
              <w:spacing w:line="360" w:lineRule="exact"/>
              <w:rPr>
                <w:bCs/>
                <w:color w:val="auto"/>
                <w:sz w:val="22"/>
                <w:highlight w:val="none"/>
              </w:rPr>
            </w:pPr>
          </w:p>
        </w:tc>
        <w:tc>
          <w:tcPr>
            <w:tcW w:w="693" w:type="pct"/>
          </w:tcPr>
          <w:p w14:paraId="72644719">
            <w:pPr>
              <w:adjustRightInd w:val="0"/>
              <w:snapToGrid w:val="0"/>
              <w:spacing w:line="360" w:lineRule="exact"/>
              <w:rPr>
                <w:bCs/>
                <w:color w:val="auto"/>
                <w:sz w:val="22"/>
                <w:highlight w:val="none"/>
              </w:rPr>
            </w:pPr>
          </w:p>
        </w:tc>
        <w:tc>
          <w:tcPr>
            <w:tcW w:w="683" w:type="pct"/>
          </w:tcPr>
          <w:p w14:paraId="03AEB94A">
            <w:pPr>
              <w:adjustRightInd w:val="0"/>
              <w:snapToGrid w:val="0"/>
              <w:spacing w:line="360" w:lineRule="exact"/>
              <w:rPr>
                <w:bCs/>
                <w:color w:val="auto"/>
                <w:sz w:val="22"/>
                <w:highlight w:val="none"/>
              </w:rPr>
            </w:pPr>
          </w:p>
        </w:tc>
        <w:tc>
          <w:tcPr>
            <w:tcW w:w="684" w:type="pct"/>
          </w:tcPr>
          <w:p w14:paraId="448724F7">
            <w:pPr>
              <w:adjustRightInd w:val="0"/>
              <w:snapToGrid w:val="0"/>
              <w:spacing w:line="360" w:lineRule="exact"/>
              <w:rPr>
                <w:bCs/>
                <w:color w:val="auto"/>
                <w:sz w:val="22"/>
                <w:highlight w:val="none"/>
              </w:rPr>
            </w:pPr>
          </w:p>
        </w:tc>
        <w:tc>
          <w:tcPr>
            <w:tcW w:w="531" w:type="pct"/>
          </w:tcPr>
          <w:p w14:paraId="3CCBBF2D">
            <w:pPr>
              <w:adjustRightInd w:val="0"/>
              <w:snapToGrid w:val="0"/>
              <w:spacing w:line="360" w:lineRule="exact"/>
              <w:rPr>
                <w:bCs/>
                <w:color w:val="auto"/>
                <w:sz w:val="22"/>
                <w:highlight w:val="none"/>
              </w:rPr>
            </w:pPr>
          </w:p>
        </w:tc>
        <w:tc>
          <w:tcPr>
            <w:tcW w:w="684" w:type="pct"/>
          </w:tcPr>
          <w:p w14:paraId="23D3E5BF">
            <w:pPr>
              <w:adjustRightInd w:val="0"/>
              <w:snapToGrid w:val="0"/>
              <w:spacing w:line="360" w:lineRule="exact"/>
              <w:rPr>
                <w:bCs/>
                <w:color w:val="auto"/>
                <w:sz w:val="22"/>
                <w:highlight w:val="none"/>
              </w:rPr>
            </w:pPr>
          </w:p>
        </w:tc>
      </w:tr>
    </w:tbl>
    <w:p w14:paraId="23B99C95">
      <w:pPr>
        <w:adjustRightInd w:val="0"/>
        <w:snapToGrid w:val="0"/>
        <w:spacing w:line="360" w:lineRule="exact"/>
        <w:rPr>
          <w:color w:val="auto"/>
          <w:sz w:val="22"/>
          <w:highlight w:val="none"/>
        </w:rPr>
      </w:pPr>
      <w:r>
        <w:rPr>
          <w:color w:val="auto"/>
          <w:sz w:val="22"/>
          <w:highlight w:val="none"/>
        </w:rPr>
        <w:t>投标单位公章：</w:t>
      </w:r>
    </w:p>
    <w:p w14:paraId="51A4D4C9">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color w:val="auto"/>
          <w:sz w:val="22"/>
          <w:highlight w:val="none"/>
        </w:rPr>
        <w:t>法人代表或被授权人签字：</w:t>
      </w:r>
    </w:p>
    <w:p w14:paraId="57B6D50E">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color w:val="auto"/>
          <w:sz w:val="22"/>
          <w:highlight w:val="none"/>
        </w:rPr>
        <w:t>注：1、在</w:t>
      </w:r>
      <w:r>
        <w:rPr>
          <w:rFonts w:hint="eastAsia"/>
          <w:color w:val="auto"/>
          <w:sz w:val="22"/>
          <w:highlight w:val="none"/>
        </w:rPr>
        <w:t>表格</w:t>
      </w:r>
      <w:r>
        <w:rPr>
          <w:color w:val="auto"/>
          <w:sz w:val="22"/>
          <w:highlight w:val="none"/>
        </w:rPr>
        <w:t>中填写项目单位名称、联系人、联系方式等内容。</w:t>
      </w:r>
    </w:p>
    <w:p w14:paraId="65BBD0BA">
      <w:pPr>
        <w:tabs>
          <w:tab w:val="left" w:pos="414"/>
          <w:tab w:val="left" w:pos="1974"/>
          <w:tab w:val="left" w:pos="3414"/>
          <w:tab w:val="left" w:pos="4854"/>
          <w:tab w:val="left" w:pos="6174"/>
          <w:tab w:val="left" w:pos="7614"/>
          <w:tab w:val="left" w:pos="9414"/>
        </w:tabs>
        <w:adjustRightInd w:val="0"/>
        <w:snapToGrid w:val="0"/>
        <w:spacing w:line="360" w:lineRule="exact"/>
        <w:ind w:firstLine="440" w:firstLineChars="200"/>
        <w:rPr>
          <w:color w:val="auto"/>
          <w:sz w:val="22"/>
          <w:highlight w:val="none"/>
        </w:rPr>
      </w:pPr>
      <w:r>
        <w:rPr>
          <w:color w:val="auto"/>
          <w:sz w:val="22"/>
          <w:highlight w:val="none"/>
        </w:rPr>
        <w:t>2、需递交上述项目的证明材料（中标通知书或合同关键页）扫描件（加盖公章），原件备查。</w:t>
      </w:r>
    </w:p>
    <w:p w14:paraId="7505FC22">
      <w:pPr>
        <w:tabs>
          <w:tab w:val="left" w:pos="414"/>
          <w:tab w:val="left" w:pos="1974"/>
          <w:tab w:val="left" w:pos="3414"/>
          <w:tab w:val="left" w:pos="4854"/>
          <w:tab w:val="left" w:pos="6174"/>
          <w:tab w:val="left" w:pos="7614"/>
          <w:tab w:val="left" w:pos="9414"/>
        </w:tabs>
        <w:adjustRightInd w:val="0"/>
        <w:snapToGrid w:val="0"/>
        <w:spacing w:line="360" w:lineRule="exact"/>
        <w:ind w:firstLine="440" w:firstLineChars="200"/>
        <w:rPr>
          <w:bCs/>
          <w:color w:val="auto"/>
          <w:sz w:val="22"/>
          <w:highlight w:val="none"/>
        </w:rPr>
      </w:pPr>
      <w:r>
        <w:rPr>
          <w:color w:val="auto"/>
          <w:sz w:val="22"/>
          <w:highlight w:val="none"/>
        </w:rPr>
        <w:t>3、提供的资料须齐全。</w:t>
      </w:r>
    </w:p>
    <w:p w14:paraId="128D069A">
      <w:pPr>
        <w:numPr>
          <w:ilvl w:val="0"/>
          <w:numId w:val="10"/>
        </w:numPr>
        <w:adjustRightInd w:val="0"/>
        <w:snapToGrid w:val="0"/>
        <w:spacing w:line="360" w:lineRule="exact"/>
        <w:rPr>
          <w:b/>
          <w:color w:val="auto"/>
          <w:sz w:val="22"/>
          <w:highlight w:val="none"/>
        </w:rPr>
      </w:pPr>
      <w:bookmarkStart w:id="32" w:name="_Toc19163"/>
      <w:bookmarkStart w:id="33" w:name="_Toc518137920"/>
      <w:bookmarkStart w:id="34" w:name="_Toc13820"/>
      <w:r>
        <w:rPr>
          <w:rFonts w:hint="eastAsia"/>
          <w:b/>
          <w:color w:val="auto"/>
          <w:sz w:val="22"/>
          <w:highlight w:val="none"/>
        </w:rPr>
        <w:t>其它重要事项说明及承诺</w:t>
      </w:r>
      <w:bookmarkEnd w:id="32"/>
      <w:bookmarkEnd w:id="33"/>
      <w:bookmarkEnd w:id="34"/>
    </w:p>
    <w:p w14:paraId="50F946C2">
      <w:pPr>
        <w:rPr>
          <w:color w:val="auto"/>
          <w:sz w:val="22"/>
          <w:highlight w:val="none"/>
        </w:rPr>
      </w:pPr>
      <w:r>
        <w:rPr>
          <w:rFonts w:hint="eastAsia" w:ascii="宋体" w:hAnsi="宋体"/>
          <w:color w:val="auto"/>
          <w:highlight w:val="none"/>
        </w:rPr>
        <w:t xml:space="preserve"> </w:t>
      </w:r>
    </w:p>
    <w:p w14:paraId="53732FAD">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rFonts w:hint="eastAsia"/>
          <w:color w:val="auto"/>
          <w:sz w:val="22"/>
          <w:highlight w:val="none"/>
        </w:rPr>
        <w:t>(请扼要叙述)</w:t>
      </w:r>
    </w:p>
    <w:p w14:paraId="21513685">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p>
    <w:p w14:paraId="60FF6033">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rFonts w:hint="eastAsia"/>
          <w:color w:val="auto"/>
          <w:sz w:val="22"/>
          <w:highlight w:val="none"/>
          <w:lang w:val="zh-CN"/>
        </w:rPr>
        <w:t>法定代表人（</w:t>
      </w:r>
      <w:r>
        <w:rPr>
          <w:rFonts w:hint="eastAsia"/>
          <w:color w:val="auto"/>
          <w:sz w:val="22"/>
          <w:highlight w:val="none"/>
        </w:rPr>
        <w:t>单位负责人</w:t>
      </w:r>
      <w:r>
        <w:rPr>
          <w:rFonts w:hint="eastAsia"/>
          <w:color w:val="auto"/>
          <w:sz w:val="22"/>
          <w:highlight w:val="none"/>
          <w:lang w:val="zh-CN"/>
        </w:rPr>
        <w:t>）或其授权代表（签字</w:t>
      </w:r>
      <w:r>
        <w:rPr>
          <w:rFonts w:hint="eastAsia"/>
          <w:color w:val="auto"/>
          <w:sz w:val="22"/>
          <w:highlight w:val="none"/>
        </w:rPr>
        <w:t>或盖章</w:t>
      </w:r>
      <w:r>
        <w:rPr>
          <w:rFonts w:hint="eastAsia"/>
          <w:color w:val="auto"/>
          <w:sz w:val="22"/>
          <w:highlight w:val="none"/>
          <w:lang w:val="zh-CN"/>
        </w:rPr>
        <w:t>）</w:t>
      </w:r>
      <w:r>
        <w:rPr>
          <w:rFonts w:hint="eastAsia"/>
          <w:color w:val="auto"/>
          <w:sz w:val="22"/>
          <w:highlight w:val="none"/>
        </w:rPr>
        <w:t>：</w:t>
      </w:r>
      <w:r>
        <w:rPr>
          <w:color w:val="auto"/>
          <w:sz w:val="22"/>
          <w:highlight w:val="none"/>
        </w:rPr>
        <w:t xml:space="preserve">                   </w:t>
      </w:r>
    </w:p>
    <w:p w14:paraId="4E735CD9">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rFonts w:hint="eastAsia"/>
          <w:color w:val="auto"/>
          <w:sz w:val="22"/>
          <w:highlight w:val="none"/>
        </w:rPr>
        <w:t>投标人名称（盖章）：</w:t>
      </w:r>
      <w:r>
        <w:rPr>
          <w:color w:val="auto"/>
          <w:sz w:val="22"/>
          <w:highlight w:val="none"/>
        </w:rPr>
        <w:t xml:space="preserve">                        </w:t>
      </w:r>
    </w:p>
    <w:p w14:paraId="3AB304D8">
      <w:pPr>
        <w:tabs>
          <w:tab w:val="left" w:pos="414"/>
          <w:tab w:val="left" w:pos="1974"/>
          <w:tab w:val="left" w:pos="3414"/>
          <w:tab w:val="left" w:pos="4854"/>
          <w:tab w:val="left" w:pos="6174"/>
          <w:tab w:val="left" w:pos="7614"/>
          <w:tab w:val="left" w:pos="9414"/>
        </w:tabs>
        <w:adjustRightInd w:val="0"/>
        <w:snapToGrid w:val="0"/>
        <w:spacing w:line="360" w:lineRule="exact"/>
        <w:rPr>
          <w:color w:val="auto"/>
          <w:sz w:val="22"/>
          <w:highlight w:val="none"/>
        </w:rPr>
      </w:pPr>
      <w:r>
        <w:rPr>
          <w:rFonts w:hint="eastAsia"/>
          <w:color w:val="auto"/>
          <w:sz w:val="22"/>
          <w:highlight w:val="none"/>
        </w:rPr>
        <w:t>日期：</w:t>
      </w:r>
      <w:r>
        <w:rPr>
          <w:color w:val="auto"/>
          <w:sz w:val="22"/>
          <w:highlight w:val="none"/>
        </w:rPr>
        <w:t xml:space="preserve">   </w:t>
      </w:r>
      <w:r>
        <w:rPr>
          <w:rFonts w:hint="eastAsia"/>
          <w:color w:val="auto"/>
          <w:sz w:val="22"/>
          <w:highlight w:val="none"/>
        </w:rPr>
        <w:t>年</w:t>
      </w:r>
      <w:r>
        <w:rPr>
          <w:color w:val="auto"/>
          <w:sz w:val="22"/>
          <w:highlight w:val="none"/>
        </w:rPr>
        <w:t xml:space="preserve">   </w:t>
      </w:r>
      <w:r>
        <w:rPr>
          <w:rFonts w:hint="eastAsia"/>
          <w:color w:val="auto"/>
          <w:sz w:val="22"/>
          <w:highlight w:val="none"/>
        </w:rPr>
        <w:t>月</w:t>
      </w:r>
      <w:r>
        <w:rPr>
          <w:color w:val="auto"/>
          <w:sz w:val="22"/>
          <w:highlight w:val="none"/>
        </w:rPr>
        <w:t xml:space="preserve">   </w:t>
      </w:r>
      <w:r>
        <w:rPr>
          <w:rFonts w:hint="eastAsia"/>
          <w:color w:val="auto"/>
          <w:sz w:val="22"/>
          <w:highlight w:val="none"/>
        </w:rPr>
        <w:t>日</w:t>
      </w:r>
    </w:p>
    <w:p w14:paraId="08B6E8D5">
      <w:pPr>
        <w:tabs>
          <w:tab w:val="left" w:pos="414"/>
          <w:tab w:val="left" w:pos="1974"/>
          <w:tab w:val="left" w:pos="3414"/>
          <w:tab w:val="left" w:pos="4854"/>
          <w:tab w:val="left" w:pos="6174"/>
          <w:tab w:val="left" w:pos="7614"/>
          <w:tab w:val="left" w:pos="9414"/>
        </w:tabs>
        <w:adjustRightInd w:val="0"/>
        <w:snapToGrid w:val="0"/>
        <w:spacing w:line="360" w:lineRule="exact"/>
        <w:rPr>
          <w:rFonts w:hint="eastAsia" w:ascii="宋体" w:hAnsi="宋体" w:cs="宋体"/>
          <w:bCs/>
          <w:color w:val="auto"/>
          <w:sz w:val="22"/>
          <w:highlight w:val="none"/>
        </w:rPr>
      </w:pPr>
    </w:p>
    <w:p w14:paraId="20460C09">
      <w:pPr>
        <w:pStyle w:val="40"/>
        <w:snapToGrid w:val="0"/>
        <w:spacing w:before="0" w:after="0"/>
        <w:jc w:val="left"/>
        <w:rPr>
          <w:rFonts w:hint="eastAsia" w:ascii="Times New Roman" w:hAnsi="Times New Roman" w:eastAsia="宋体" w:cs="宋体"/>
          <w:color w:val="auto"/>
          <w:kern w:val="2"/>
          <w:sz w:val="22"/>
          <w:szCs w:val="22"/>
          <w:highlight w:val="none"/>
        </w:rPr>
      </w:pPr>
      <w:r>
        <w:rPr>
          <w:rFonts w:hint="eastAsia" w:ascii="Times New Roman" w:hAnsi="Times New Roman" w:eastAsia="宋体" w:cs="宋体"/>
          <w:color w:val="auto"/>
          <w:kern w:val="2"/>
          <w:sz w:val="22"/>
          <w:szCs w:val="22"/>
          <w:highlight w:val="none"/>
        </w:rPr>
        <w:t>（</w:t>
      </w:r>
      <w:r>
        <w:rPr>
          <w:rFonts w:hint="eastAsia" w:ascii="Times New Roman" w:hAnsi="Times New Roman" w:eastAsia="宋体" w:cs="宋体"/>
          <w:color w:val="auto"/>
          <w:kern w:val="2"/>
          <w:sz w:val="22"/>
          <w:szCs w:val="22"/>
          <w:highlight w:val="none"/>
          <w:lang w:eastAsia="zh-CN"/>
        </w:rPr>
        <w:t>五</w:t>
      </w:r>
      <w:r>
        <w:rPr>
          <w:rFonts w:hint="eastAsia" w:ascii="Times New Roman" w:hAnsi="Times New Roman" w:eastAsia="宋体" w:cs="宋体"/>
          <w:color w:val="auto"/>
          <w:kern w:val="2"/>
          <w:sz w:val="22"/>
          <w:szCs w:val="22"/>
          <w:highlight w:val="none"/>
        </w:rPr>
        <w:t>）供应商基本情况表</w:t>
      </w:r>
    </w:p>
    <w:p w14:paraId="59123749">
      <w:pPr>
        <w:rPr>
          <w:rFonts w:hint="eastAsia" w:ascii="宋体" w:hAnsi="宋体" w:cs="宋体"/>
          <w:color w:val="auto"/>
          <w:sz w:val="22"/>
          <w:highlight w:val="none"/>
        </w:rPr>
      </w:pPr>
      <w:r>
        <w:rPr>
          <w:rFonts w:hint="eastAsia" w:ascii="宋体" w:hAnsi="宋体" w:cs="宋体"/>
          <w:b/>
          <w:bCs/>
          <w:color w:val="auto"/>
          <w:sz w:val="22"/>
          <w:highlight w:val="none"/>
        </w:rPr>
        <w:t>填表单位：（加盖单位公章）</w:t>
      </w:r>
      <w:r>
        <w:rPr>
          <w:rFonts w:hint="eastAsia" w:ascii="宋体" w:hAnsi="宋体" w:cs="宋体"/>
          <w:b/>
          <w:bCs/>
          <w:color w:val="auto"/>
          <w:sz w:val="22"/>
          <w:highlight w:val="none"/>
        </w:rPr>
        <w:tab/>
      </w:r>
      <w:r>
        <w:rPr>
          <w:rFonts w:hint="eastAsia" w:ascii="宋体" w:hAnsi="宋体" w:cs="宋体"/>
          <w:color w:val="auto"/>
          <w:sz w:val="22"/>
          <w:highlight w:val="none"/>
        </w:rPr>
        <w:tab/>
      </w:r>
      <w:r>
        <w:rPr>
          <w:rFonts w:hint="eastAsia" w:ascii="宋体" w:hAnsi="宋体" w:cs="宋体"/>
          <w:color w:val="auto"/>
          <w:sz w:val="22"/>
          <w:highlight w:val="none"/>
        </w:rPr>
        <w:t xml:space="preserve">   填表日期：    年   月   日</w:t>
      </w:r>
    </w:p>
    <w:tbl>
      <w:tblPr>
        <w:tblStyle w:val="43"/>
        <w:tblW w:w="8941"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3F35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48D4455">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采购人</w:t>
            </w:r>
          </w:p>
        </w:tc>
        <w:tc>
          <w:tcPr>
            <w:tcW w:w="2553" w:type="dxa"/>
            <w:gridSpan w:val="2"/>
            <w:noWrap w:val="0"/>
            <w:vAlign w:val="center"/>
          </w:tcPr>
          <w:p w14:paraId="2B422A0A">
            <w:pPr>
              <w:spacing w:line="360" w:lineRule="exact"/>
              <w:jc w:val="center"/>
              <w:rPr>
                <w:rFonts w:hint="eastAsia" w:ascii="宋体" w:hAnsi="宋体" w:cs="宋体"/>
                <w:color w:val="auto"/>
                <w:sz w:val="22"/>
                <w:highlight w:val="none"/>
              </w:rPr>
            </w:pPr>
          </w:p>
        </w:tc>
        <w:tc>
          <w:tcPr>
            <w:tcW w:w="1991" w:type="dxa"/>
            <w:gridSpan w:val="2"/>
            <w:noWrap w:val="0"/>
            <w:vAlign w:val="center"/>
          </w:tcPr>
          <w:p w14:paraId="6E1C4911">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项目名称</w:t>
            </w:r>
          </w:p>
        </w:tc>
        <w:tc>
          <w:tcPr>
            <w:tcW w:w="2985" w:type="dxa"/>
            <w:gridSpan w:val="2"/>
            <w:noWrap w:val="0"/>
            <w:vAlign w:val="center"/>
          </w:tcPr>
          <w:p w14:paraId="46BE9AF1">
            <w:pPr>
              <w:spacing w:line="360" w:lineRule="exact"/>
              <w:jc w:val="center"/>
              <w:rPr>
                <w:rFonts w:hint="eastAsia" w:ascii="宋体" w:hAnsi="宋体" w:cs="宋体"/>
                <w:color w:val="auto"/>
                <w:sz w:val="22"/>
                <w:highlight w:val="none"/>
              </w:rPr>
            </w:pPr>
          </w:p>
        </w:tc>
      </w:tr>
      <w:tr w14:paraId="2A55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9B6635F">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投标（响应）供应商</w:t>
            </w:r>
          </w:p>
        </w:tc>
        <w:tc>
          <w:tcPr>
            <w:tcW w:w="2553" w:type="dxa"/>
            <w:gridSpan w:val="2"/>
            <w:noWrap w:val="0"/>
            <w:vAlign w:val="center"/>
          </w:tcPr>
          <w:p w14:paraId="537BCF85">
            <w:pPr>
              <w:spacing w:line="360" w:lineRule="exact"/>
              <w:jc w:val="center"/>
              <w:rPr>
                <w:rFonts w:hint="eastAsia" w:ascii="宋体" w:hAnsi="宋体" w:cs="宋体"/>
                <w:color w:val="auto"/>
                <w:sz w:val="22"/>
                <w:highlight w:val="none"/>
              </w:rPr>
            </w:pPr>
          </w:p>
        </w:tc>
        <w:tc>
          <w:tcPr>
            <w:tcW w:w="1991" w:type="dxa"/>
            <w:gridSpan w:val="2"/>
            <w:noWrap w:val="0"/>
            <w:vAlign w:val="center"/>
          </w:tcPr>
          <w:p w14:paraId="1D8DE52B">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供应商统一社会信用代码</w:t>
            </w:r>
          </w:p>
        </w:tc>
        <w:tc>
          <w:tcPr>
            <w:tcW w:w="2985" w:type="dxa"/>
            <w:gridSpan w:val="2"/>
            <w:noWrap w:val="0"/>
            <w:vAlign w:val="center"/>
          </w:tcPr>
          <w:p w14:paraId="086C2B04">
            <w:pPr>
              <w:spacing w:line="360" w:lineRule="exact"/>
              <w:jc w:val="center"/>
              <w:rPr>
                <w:rFonts w:hint="eastAsia" w:ascii="宋体" w:hAnsi="宋体" w:cs="宋体"/>
                <w:color w:val="auto"/>
                <w:sz w:val="22"/>
                <w:highlight w:val="none"/>
              </w:rPr>
            </w:pPr>
          </w:p>
        </w:tc>
      </w:tr>
      <w:tr w14:paraId="6FF4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0D0522B5">
            <w:pPr>
              <w:spacing w:line="360" w:lineRule="exact"/>
              <w:jc w:val="center"/>
              <w:rPr>
                <w:rFonts w:hint="eastAsia" w:ascii="宋体" w:hAnsi="宋体" w:cs="宋体"/>
                <w:color w:val="auto"/>
                <w:sz w:val="22"/>
                <w:highlight w:val="none"/>
              </w:rPr>
            </w:pPr>
            <w:r>
              <w:rPr>
                <w:rFonts w:hint="eastAsia" w:ascii="宋体" w:hAnsi="宋体" w:cs="宋体"/>
                <w:b/>
                <w:bCs/>
                <w:color w:val="auto"/>
                <w:sz w:val="22"/>
                <w:highlight w:val="none"/>
              </w:rPr>
              <w:t>投标（响应）供应商相关人员情况</w:t>
            </w:r>
          </w:p>
        </w:tc>
      </w:tr>
      <w:tr w14:paraId="25CA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70AC7395">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序号</w:t>
            </w:r>
          </w:p>
        </w:tc>
        <w:tc>
          <w:tcPr>
            <w:tcW w:w="2282" w:type="dxa"/>
            <w:gridSpan w:val="2"/>
            <w:tcBorders>
              <w:bottom w:val="single" w:color="auto" w:sz="4" w:space="0"/>
            </w:tcBorders>
            <w:noWrap w:val="0"/>
            <w:vAlign w:val="center"/>
          </w:tcPr>
          <w:p w14:paraId="04E2EEA2">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职务</w:t>
            </w:r>
          </w:p>
        </w:tc>
        <w:tc>
          <w:tcPr>
            <w:tcW w:w="947" w:type="dxa"/>
            <w:tcBorders>
              <w:bottom w:val="single" w:color="auto" w:sz="4" w:space="0"/>
            </w:tcBorders>
            <w:noWrap w:val="0"/>
            <w:vAlign w:val="center"/>
          </w:tcPr>
          <w:p w14:paraId="71C7686A">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姓名</w:t>
            </w:r>
          </w:p>
        </w:tc>
        <w:tc>
          <w:tcPr>
            <w:tcW w:w="1991" w:type="dxa"/>
            <w:gridSpan w:val="2"/>
            <w:tcBorders>
              <w:bottom w:val="single" w:color="auto" w:sz="4" w:space="0"/>
            </w:tcBorders>
            <w:noWrap w:val="0"/>
            <w:vAlign w:val="center"/>
          </w:tcPr>
          <w:p w14:paraId="12FB10C0">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身份证号码</w:t>
            </w:r>
          </w:p>
        </w:tc>
        <w:tc>
          <w:tcPr>
            <w:tcW w:w="1500" w:type="dxa"/>
            <w:tcBorders>
              <w:bottom w:val="single" w:color="auto" w:sz="4" w:space="0"/>
            </w:tcBorders>
            <w:noWrap w:val="0"/>
            <w:vAlign w:val="center"/>
          </w:tcPr>
          <w:p w14:paraId="0B19DB71">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劳动合同</w:t>
            </w:r>
          </w:p>
          <w:p w14:paraId="61C0D81A">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关系单位</w:t>
            </w:r>
          </w:p>
        </w:tc>
        <w:tc>
          <w:tcPr>
            <w:tcW w:w="1485" w:type="dxa"/>
            <w:tcBorders>
              <w:bottom w:val="single" w:color="auto" w:sz="4" w:space="0"/>
            </w:tcBorders>
            <w:noWrap w:val="0"/>
            <w:vAlign w:val="center"/>
          </w:tcPr>
          <w:p w14:paraId="5F8F53CC">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缴纳社会</w:t>
            </w:r>
          </w:p>
          <w:p w14:paraId="6723F15F">
            <w:pPr>
              <w:snapToGrid w:val="0"/>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保险单位</w:t>
            </w:r>
          </w:p>
        </w:tc>
      </w:tr>
      <w:tr w14:paraId="51DA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46070069">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1CB9395E">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77CFC98D">
            <w:pPr>
              <w:spacing w:line="360" w:lineRule="exact"/>
              <w:jc w:val="center"/>
              <w:rPr>
                <w:rFonts w:hint="eastAsia" w:ascii="宋体" w:hAnsi="宋体" w:cs="宋体"/>
                <w:color w:val="auto"/>
                <w:sz w:val="22"/>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7F08A754">
            <w:pPr>
              <w:spacing w:line="360" w:lineRule="exact"/>
              <w:jc w:val="center"/>
              <w:rPr>
                <w:rFonts w:hint="eastAsia" w:ascii="宋体" w:hAnsi="宋体" w:cs="宋体"/>
                <w:color w:val="auto"/>
                <w:sz w:val="22"/>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EDEE756">
            <w:pPr>
              <w:spacing w:line="360" w:lineRule="exact"/>
              <w:jc w:val="center"/>
              <w:rPr>
                <w:rFonts w:hint="eastAsia" w:ascii="宋体" w:hAnsi="宋体" w:cs="宋体"/>
                <w:color w:val="auto"/>
                <w:sz w:val="22"/>
                <w:highlight w:val="none"/>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7E403AE0">
            <w:pPr>
              <w:spacing w:line="360" w:lineRule="exact"/>
              <w:jc w:val="center"/>
              <w:rPr>
                <w:rFonts w:hint="eastAsia" w:ascii="宋体" w:hAnsi="宋体" w:cs="宋体"/>
                <w:color w:val="auto"/>
                <w:sz w:val="22"/>
                <w:highlight w:val="none"/>
              </w:rPr>
            </w:pPr>
          </w:p>
        </w:tc>
      </w:tr>
      <w:tr w14:paraId="4AF9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64861369">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B31981C">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74B14DBE">
            <w:pPr>
              <w:spacing w:line="360" w:lineRule="exact"/>
              <w:jc w:val="center"/>
              <w:rPr>
                <w:rFonts w:hint="eastAsia" w:ascii="宋体" w:hAnsi="宋体" w:cs="宋体"/>
                <w:color w:val="auto"/>
                <w:sz w:val="22"/>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579951C">
            <w:pPr>
              <w:spacing w:line="360" w:lineRule="exact"/>
              <w:jc w:val="center"/>
              <w:rPr>
                <w:rFonts w:hint="eastAsia" w:ascii="宋体" w:hAnsi="宋体" w:cs="宋体"/>
                <w:color w:val="auto"/>
                <w:sz w:val="22"/>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A3AA90C">
            <w:pPr>
              <w:spacing w:line="360" w:lineRule="exact"/>
              <w:jc w:val="center"/>
              <w:rPr>
                <w:rFonts w:hint="eastAsia" w:ascii="宋体" w:hAnsi="宋体" w:cs="宋体"/>
                <w:color w:val="auto"/>
                <w:sz w:val="22"/>
                <w:highlight w:val="none"/>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0D3E44DD">
            <w:pPr>
              <w:spacing w:line="360" w:lineRule="exact"/>
              <w:jc w:val="center"/>
              <w:rPr>
                <w:rFonts w:hint="eastAsia" w:ascii="宋体" w:hAnsi="宋体" w:cs="宋体"/>
                <w:color w:val="auto"/>
                <w:sz w:val="22"/>
                <w:highlight w:val="none"/>
              </w:rPr>
            </w:pPr>
          </w:p>
        </w:tc>
      </w:tr>
      <w:tr w14:paraId="556A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65E3E943">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lang w:bidi="ar"/>
              </w:rPr>
              <w:t>3</w:t>
            </w:r>
          </w:p>
        </w:tc>
        <w:tc>
          <w:tcPr>
            <w:tcW w:w="2282" w:type="dxa"/>
            <w:gridSpan w:val="2"/>
            <w:tcBorders>
              <w:top w:val="single" w:color="auto" w:sz="4" w:space="0"/>
            </w:tcBorders>
            <w:noWrap w:val="0"/>
            <w:vAlign w:val="center"/>
          </w:tcPr>
          <w:p w14:paraId="14128DAC">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项目负责人</w:t>
            </w:r>
          </w:p>
        </w:tc>
        <w:tc>
          <w:tcPr>
            <w:tcW w:w="947" w:type="dxa"/>
            <w:tcBorders>
              <w:top w:val="single" w:color="auto" w:sz="4" w:space="0"/>
            </w:tcBorders>
            <w:noWrap w:val="0"/>
            <w:vAlign w:val="center"/>
          </w:tcPr>
          <w:p w14:paraId="4A5C0681">
            <w:pPr>
              <w:spacing w:line="360" w:lineRule="exact"/>
              <w:jc w:val="center"/>
              <w:rPr>
                <w:rFonts w:hint="eastAsia" w:ascii="宋体" w:hAnsi="宋体" w:cs="宋体"/>
                <w:color w:val="auto"/>
                <w:sz w:val="22"/>
                <w:highlight w:val="none"/>
              </w:rPr>
            </w:pPr>
          </w:p>
        </w:tc>
        <w:tc>
          <w:tcPr>
            <w:tcW w:w="1991" w:type="dxa"/>
            <w:gridSpan w:val="2"/>
            <w:tcBorders>
              <w:top w:val="single" w:color="auto" w:sz="4" w:space="0"/>
            </w:tcBorders>
            <w:noWrap w:val="0"/>
            <w:vAlign w:val="center"/>
          </w:tcPr>
          <w:p w14:paraId="1A2CC91D">
            <w:pPr>
              <w:spacing w:line="360" w:lineRule="exact"/>
              <w:jc w:val="center"/>
              <w:rPr>
                <w:rFonts w:hint="eastAsia" w:ascii="宋体" w:hAnsi="宋体" w:cs="宋体"/>
                <w:color w:val="auto"/>
                <w:sz w:val="22"/>
                <w:highlight w:val="none"/>
              </w:rPr>
            </w:pPr>
          </w:p>
        </w:tc>
        <w:tc>
          <w:tcPr>
            <w:tcW w:w="1500" w:type="dxa"/>
            <w:tcBorders>
              <w:top w:val="single" w:color="auto" w:sz="4" w:space="0"/>
            </w:tcBorders>
            <w:noWrap w:val="0"/>
            <w:vAlign w:val="center"/>
          </w:tcPr>
          <w:p w14:paraId="11477248">
            <w:pPr>
              <w:spacing w:line="360" w:lineRule="exact"/>
              <w:jc w:val="center"/>
              <w:rPr>
                <w:rFonts w:hint="eastAsia" w:ascii="宋体" w:hAnsi="宋体" w:cs="宋体"/>
                <w:color w:val="auto"/>
                <w:sz w:val="22"/>
                <w:highlight w:val="none"/>
              </w:rPr>
            </w:pPr>
          </w:p>
        </w:tc>
        <w:tc>
          <w:tcPr>
            <w:tcW w:w="1485" w:type="dxa"/>
            <w:tcBorders>
              <w:top w:val="single" w:color="auto" w:sz="4" w:space="0"/>
            </w:tcBorders>
            <w:noWrap w:val="0"/>
            <w:vAlign w:val="center"/>
          </w:tcPr>
          <w:p w14:paraId="0153424F">
            <w:pPr>
              <w:spacing w:line="360" w:lineRule="exact"/>
              <w:jc w:val="center"/>
              <w:rPr>
                <w:rFonts w:hint="eastAsia" w:ascii="宋体" w:hAnsi="宋体" w:cs="宋体"/>
                <w:color w:val="auto"/>
                <w:sz w:val="22"/>
                <w:highlight w:val="none"/>
              </w:rPr>
            </w:pPr>
          </w:p>
        </w:tc>
      </w:tr>
      <w:tr w14:paraId="7C33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0FE45199">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lang w:bidi="ar"/>
              </w:rPr>
              <w:t>4</w:t>
            </w:r>
          </w:p>
        </w:tc>
        <w:tc>
          <w:tcPr>
            <w:tcW w:w="2282" w:type="dxa"/>
            <w:gridSpan w:val="2"/>
            <w:noWrap w:val="0"/>
            <w:vAlign w:val="center"/>
          </w:tcPr>
          <w:p w14:paraId="6B406595">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主要技术人员</w:t>
            </w:r>
          </w:p>
        </w:tc>
        <w:tc>
          <w:tcPr>
            <w:tcW w:w="947" w:type="dxa"/>
            <w:noWrap w:val="0"/>
            <w:vAlign w:val="center"/>
          </w:tcPr>
          <w:p w14:paraId="4AA2C944">
            <w:pPr>
              <w:spacing w:line="360" w:lineRule="exact"/>
              <w:jc w:val="center"/>
              <w:rPr>
                <w:rFonts w:hint="eastAsia" w:ascii="宋体" w:hAnsi="宋体" w:cs="宋体"/>
                <w:color w:val="auto"/>
                <w:sz w:val="22"/>
                <w:highlight w:val="none"/>
              </w:rPr>
            </w:pPr>
          </w:p>
        </w:tc>
        <w:tc>
          <w:tcPr>
            <w:tcW w:w="1991" w:type="dxa"/>
            <w:gridSpan w:val="2"/>
            <w:noWrap w:val="0"/>
            <w:vAlign w:val="center"/>
          </w:tcPr>
          <w:p w14:paraId="51A07CEF">
            <w:pPr>
              <w:spacing w:line="360" w:lineRule="exact"/>
              <w:jc w:val="center"/>
              <w:rPr>
                <w:rFonts w:hint="eastAsia" w:ascii="宋体" w:hAnsi="宋体" w:cs="宋体"/>
                <w:color w:val="auto"/>
                <w:sz w:val="22"/>
                <w:highlight w:val="none"/>
              </w:rPr>
            </w:pPr>
          </w:p>
        </w:tc>
        <w:tc>
          <w:tcPr>
            <w:tcW w:w="1500" w:type="dxa"/>
            <w:noWrap w:val="0"/>
            <w:vAlign w:val="center"/>
          </w:tcPr>
          <w:p w14:paraId="5917001E">
            <w:pPr>
              <w:spacing w:line="360" w:lineRule="exact"/>
              <w:jc w:val="center"/>
              <w:rPr>
                <w:rFonts w:hint="eastAsia" w:ascii="宋体" w:hAnsi="宋体" w:cs="宋体"/>
                <w:color w:val="auto"/>
                <w:sz w:val="22"/>
                <w:highlight w:val="none"/>
              </w:rPr>
            </w:pPr>
          </w:p>
        </w:tc>
        <w:tc>
          <w:tcPr>
            <w:tcW w:w="1485" w:type="dxa"/>
            <w:noWrap w:val="0"/>
            <w:vAlign w:val="center"/>
          </w:tcPr>
          <w:p w14:paraId="0A08419B">
            <w:pPr>
              <w:spacing w:line="360" w:lineRule="exact"/>
              <w:jc w:val="center"/>
              <w:rPr>
                <w:rFonts w:hint="eastAsia" w:ascii="宋体" w:hAnsi="宋体" w:cs="宋体"/>
                <w:color w:val="auto"/>
                <w:sz w:val="22"/>
                <w:highlight w:val="none"/>
              </w:rPr>
            </w:pPr>
          </w:p>
        </w:tc>
      </w:tr>
      <w:tr w14:paraId="385E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36BE4559">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lang w:bidi="ar"/>
              </w:rPr>
              <w:t>5</w:t>
            </w:r>
          </w:p>
        </w:tc>
        <w:tc>
          <w:tcPr>
            <w:tcW w:w="2282" w:type="dxa"/>
            <w:gridSpan w:val="2"/>
            <w:noWrap w:val="0"/>
            <w:vAlign w:val="center"/>
          </w:tcPr>
          <w:p w14:paraId="69219DE7">
            <w:pPr>
              <w:pStyle w:val="7"/>
              <w:snapToGrid w:val="0"/>
              <w:spacing w:line="360" w:lineRule="exact"/>
              <w:ind w:firstLine="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投标文件编制人员</w:t>
            </w:r>
          </w:p>
        </w:tc>
        <w:tc>
          <w:tcPr>
            <w:tcW w:w="947" w:type="dxa"/>
            <w:noWrap w:val="0"/>
            <w:vAlign w:val="center"/>
          </w:tcPr>
          <w:p w14:paraId="722AA964">
            <w:pPr>
              <w:spacing w:line="360" w:lineRule="exact"/>
              <w:jc w:val="center"/>
              <w:rPr>
                <w:rFonts w:hint="eastAsia" w:ascii="宋体" w:hAnsi="宋体" w:cs="宋体"/>
                <w:color w:val="auto"/>
                <w:sz w:val="22"/>
                <w:highlight w:val="none"/>
              </w:rPr>
            </w:pPr>
          </w:p>
        </w:tc>
        <w:tc>
          <w:tcPr>
            <w:tcW w:w="1991" w:type="dxa"/>
            <w:gridSpan w:val="2"/>
            <w:noWrap w:val="0"/>
            <w:vAlign w:val="center"/>
          </w:tcPr>
          <w:p w14:paraId="280A1165">
            <w:pPr>
              <w:spacing w:line="360" w:lineRule="exact"/>
              <w:jc w:val="center"/>
              <w:rPr>
                <w:rFonts w:hint="eastAsia" w:ascii="宋体" w:hAnsi="宋体" w:cs="宋体"/>
                <w:color w:val="auto"/>
                <w:sz w:val="22"/>
                <w:highlight w:val="none"/>
              </w:rPr>
            </w:pPr>
          </w:p>
        </w:tc>
        <w:tc>
          <w:tcPr>
            <w:tcW w:w="1500" w:type="dxa"/>
            <w:noWrap w:val="0"/>
            <w:vAlign w:val="center"/>
          </w:tcPr>
          <w:p w14:paraId="2F6ED4AE">
            <w:pPr>
              <w:spacing w:line="360" w:lineRule="exact"/>
              <w:jc w:val="center"/>
              <w:rPr>
                <w:rFonts w:hint="eastAsia" w:ascii="宋体" w:hAnsi="宋体" w:cs="宋体"/>
                <w:color w:val="auto"/>
                <w:sz w:val="22"/>
                <w:highlight w:val="none"/>
              </w:rPr>
            </w:pPr>
          </w:p>
        </w:tc>
        <w:tc>
          <w:tcPr>
            <w:tcW w:w="1485" w:type="dxa"/>
            <w:noWrap w:val="0"/>
            <w:vAlign w:val="center"/>
          </w:tcPr>
          <w:p w14:paraId="7610FAB6">
            <w:pPr>
              <w:spacing w:line="360" w:lineRule="exact"/>
              <w:jc w:val="center"/>
              <w:rPr>
                <w:rFonts w:hint="eastAsia" w:ascii="宋体" w:hAnsi="宋体" w:cs="宋体"/>
                <w:color w:val="auto"/>
                <w:sz w:val="22"/>
                <w:highlight w:val="none"/>
              </w:rPr>
            </w:pPr>
          </w:p>
        </w:tc>
      </w:tr>
      <w:tr w14:paraId="0733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5CE85FB">
            <w:pPr>
              <w:spacing w:line="360" w:lineRule="exact"/>
              <w:jc w:val="left"/>
              <w:rPr>
                <w:rFonts w:hint="eastAsia" w:ascii="宋体" w:hAnsi="宋体" w:cs="宋体"/>
                <w:color w:val="auto"/>
                <w:sz w:val="22"/>
                <w:highlight w:val="none"/>
              </w:rPr>
            </w:pPr>
            <w:r>
              <w:rPr>
                <w:rFonts w:hint="eastAsia" w:ascii="宋体" w:hAnsi="宋体" w:cs="宋体"/>
                <w:b/>
                <w:bCs/>
                <w:color w:val="auto"/>
                <w:sz w:val="22"/>
                <w:highlight w:val="none"/>
              </w:rPr>
              <w:t>说明：同一职务有多人担任（如主要技术人员），应分行填写。</w:t>
            </w:r>
          </w:p>
        </w:tc>
      </w:tr>
      <w:tr w14:paraId="5AB1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506848C2">
            <w:pPr>
              <w:spacing w:line="360" w:lineRule="exact"/>
              <w:jc w:val="center"/>
              <w:rPr>
                <w:rFonts w:hint="eastAsia" w:ascii="宋体" w:hAnsi="宋体" w:cs="宋体"/>
                <w:b/>
                <w:bCs/>
                <w:color w:val="auto"/>
                <w:sz w:val="22"/>
                <w:highlight w:val="none"/>
              </w:rPr>
            </w:pPr>
            <w:r>
              <w:rPr>
                <w:rFonts w:hint="eastAsia" w:ascii="宋体" w:hAnsi="宋体" w:cs="宋体"/>
                <w:b/>
                <w:bCs/>
                <w:color w:val="auto"/>
                <w:sz w:val="22"/>
                <w:highlight w:val="none"/>
              </w:rPr>
              <w:t>投标（响应）供应商关联关系情况</w:t>
            </w:r>
          </w:p>
        </w:tc>
      </w:tr>
      <w:tr w14:paraId="4D5B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3579F86D">
            <w:pPr>
              <w:spacing w:line="360" w:lineRule="exact"/>
              <w:jc w:val="center"/>
              <w:rPr>
                <w:rFonts w:hint="eastAsia" w:ascii="宋体" w:hAnsi="宋体" w:cs="宋体"/>
                <w:color w:val="auto"/>
                <w:sz w:val="22"/>
                <w:highlight w:val="none"/>
                <w:lang w:bidi="ar"/>
              </w:rPr>
            </w:pPr>
            <w:r>
              <w:rPr>
                <w:rFonts w:hint="eastAsia" w:ascii="宋体" w:hAnsi="宋体" w:cs="宋体"/>
                <w:color w:val="auto"/>
                <w:sz w:val="22"/>
                <w:highlight w:val="none"/>
                <w:lang w:bidi="ar"/>
              </w:rPr>
              <w:t>序号</w:t>
            </w:r>
          </w:p>
        </w:tc>
        <w:tc>
          <w:tcPr>
            <w:tcW w:w="2282" w:type="dxa"/>
            <w:gridSpan w:val="2"/>
            <w:tcBorders>
              <w:bottom w:val="single" w:color="auto" w:sz="4" w:space="0"/>
            </w:tcBorders>
            <w:noWrap w:val="0"/>
            <w:vAlign w:val="center"/>
          </w:tcPr>
          <w:p w14:paraId="356DA7EC">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关联关系类型</w:t>
            </w:r>
          </w:p>
        </w:tc>
        <w:tc>
          <w:tcPr>
            <w:tcW w:w="1738" w:type="dxa"/>
            <w:gridSpan w:val="2"/>
            <w:tcBorders>
              <w:bottom w:val="single" w:color="auto" w:sz="4" w:space="0"/>
            </w:tcBorders>
            <w:noWrap w:val="0"/>
            <w:vAlign w:val="center"/>
          </w:tcPr>
          <w:p w14:paraId="560442FB">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关联主体名称</w:t>
            </w:r>
          </w:p>
        </w:tc>
        <w:tc>
          <w:tcPr>
            <w:tcW w:w="4185" w:type="dxa"/>
            <w:gridSpan w:val="3"/>
            <w:tcBorders>
              <w:bottom w:val="single" w:color="auto" w:sz="4" w:space="0"/>
            </w:tcBorders>
            <w:noWrap w:val="0"/>
            <w:vAlign w:val="center"/>
          </w:tcPr>
          <w:p w14:paraId="4089D6FB">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备注</w:t>
            </w:r>
          </w:p>
        </w:tc>
      </w:tr>
      <w:tr w14:paraId="2C2D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12BBDA1E">
            <w:pPr>
              <w:spacing w:line="360" w:lineRule="exact"/>
              <w:jc w:val="center"/>
              <w:rPr>
                <w:rFonts w:hint="eastAsia" w:ascii="宋体" w:hAnsi="宋体" w:cs="宋体"/>
                <w:color w:val="auto"/>
                <w:sz w:val="22"/>
                <w:highlight w:val="none"/>
                <w:lang w:bidi="ar"/>
              </w:rPr>
            </w:pPr>
            <w:r>
              <w:rPr>
                <w:rFonts w:hint="eastAsia" w:ascii="宋体" w:hAnsi="宋体" w:cs="宋体"/>
                <w:color w:val="auto"/>
                <w:sz w:val="22"/>
                <w:highlight w:val="none"/>
                <w:lang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2956C916">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2193E236">
            <w:pPr>
              <w:spacing w:line="360" w:lineRule="exact"/>
              <w:jc w:val="center"/>
              <w:rPr>
                <w:rFonts w:hint="eastAsia" w:ascii="宋体" w:hAnsi="宋体" w:cs="宋体"/>
                <w:color w:val="auto"/>
                <w:sz w:val="22"/>
                <w:highlight w:val="none"/>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64D73F89">
            <w:pPr>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5D1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57E7F15">
            <w:pPr>
              <w:spacing w:line="360" w:lineRule="exact"/>
              <w:jc w:val="center"/>
              <w:rPr>
                <w:rFonts w:hint="eastAsia" w:ascii="宋体" w:hAnsi="宋体" w:cs="宋体"/>
                <w:color w:val="auto"/>
                <w:sz w:val="22"/>
                <w:highlight w:val="none"/>
                <w:lang w:bidi="ar"/>
              </w:rPr>
            </w:pPr>
            <w:r>
              <w:rPr>
                <w:rFonts w:hint="eastAsia" w:ascii="宋体" w:hAnsi="宋体" w:cs="宋体"/>
                <w:color w:val="auto"/>
                <w:sz w:val="22"/>
                <w:highlight w:val="none"/>
                <w:lang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F12AA6D">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15EDA7DF">
            <w:pPr>
              <w:spacing w:line="360" w:lineRule="exact"/>
              <w:jc w:val="center"/>
              <w:rPr>
                <w:rFonts w:hint="eastAsia" w:ascii="宋体" w:hAnsi="宋体" w:cs="宋体"/>
                <w:color w:val="auto"/>
                <w:sz w:val="22"/>
                <w:highlight w:val="none"/>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10A6912E">
            <w:pPr>
              <w:snapToGrid w:val="0"/>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指对投标（响应）供应商不具有出资持股关系，但对其存在管理关系的主体。</w:t>
            </w:r>
          </w:p>
        </w:tc>
      </w:tr>
      <w:tr w14:paraId="5D05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7B200C93">
            <w:pPr>
              <w:snapToGrid w:val="0"/>
              <w:spacing w:line="360" w:lineRule="exact"/>
              <w:jc w:val="left"/>
              <w:rPr>
                <w:rFonts w:hint="eastAsia" w:ascii="宋体" w:hAnsi="宋体" w:cs="宋体"/>
                <w:color w:val="auto"/>
                <w:sz w:val="22"/>
                <w:highlight w:val="none"/>
              </w:rPr>
            </w:pPr>
            <w:r>
              <w:rPr>
                <w:rFonts w:hint="eastAsia" w:ascii="宋体" w:hAnsi="宋体" w:cs="宋体"/>
                <w:b/>
                <w:bCs/>
                <w:color w:val="auto"/>
                <w:sz w:val="22"/>
                <w:highlight w:val="none"/>
              </w:rPr>
              <w:t>说明：同一关联关系类型有多个主体的，应分行填写。</w:t>
            </w:r>
          </w:p>
        </w:tc>
      </w:tr>
    </w:tbl>
    <w:p w14:paraId="1E63D68D">
      <w:pPr>
        <w:adjustRightInd w:val="0"/>
        <w:snapToGrid w:val="0"/>
        <w:spacing w:line="360" w:lineRule="exact"/>
        <w:rPr>
          <w:rFonts w:hint="eastAsia" w:ascii="宋体" w:hAnsi="宋体" w:cs="宋体"/>
          <w:b/>
          <w:color w:val="auto"/>
          <w:sz w:val="22"/>
          <w:highlight w:val="none"/>
        </w:rPr>
      </w:pPr>
      <w:r>
        <w:rPr>
          <w:rFonts w:hint="eastAsia" w:ascii="宋体" w:hAnsi="宋体" w:cs="宋体"/>
          <w:b/>
          <w:color w:val="auto"/>
          <w:sz w:val="22"/>
          <w:highlight w:val="none"/>
        </w:rPr>
        <w:t>注：</w:t>
      </w:r>
    </w:p>
    <w:p w14:paraId="1C611CA1">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1.主要经营负责人即实际控制人，是指通过投资关系、协议或者其他安排，能够实际支配公司行为的人。</w:t>
      </w:r>
    </w:p>
    <w:p w14:paraId="65E56911">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2.如未有相关情况，请在相应栏填写“无”。</w:t>
      </w:r>
    </w:p>
    <w:p w14:paraId="0957B50C">
      <w:pPr>
        <w:adjustRightInd w:val="0"/>
        <w:snapToGrid w:val="0"/>
        <w:spacing w:line="360" w:lineRule="exact"/>
        <w:rPr>
          <w:rFonts w:hint="eastAsia" w:ascii="宋体" w:hAnsi="宋体" w:cs="宋体"/>
          <w:bCs/>
          <w:color w:val="auto"/>
          <w:sz w:val="22"/>
          <w:highlight w:val="none"/>
        </w:rPr>
      </w:pPr>
      <w:r>
        <w:rPr>
          <w:rFonts w:hint="eastAsia" w:ascii="宋体" w:hAnsi="宋体" w:cs="宋体"/>
          <w:bCs/>
          <w:color w:val="auto"/>
          <w:sz w:val="22"/>
          <w:highlight w:val="none"/>
        </w:rPr>
        <w:t>3.投标供应商应如实申报本单位控股及管理关系人员信息，如存在隐瞒真实情况，提供虚假资料的，经查实，主管部门将依据《深圳经济特区政府采购条例》第五十七条的规定进行处罚。</w:t>
      </w:r>
    </w:p>
    <w:p w14:paraId="0FD1FB80">
      <w:pPr>
        <w:pStyle w:val="42"/>
        <w:ind w:left="0" w:leftChars="0" w:firstLine="0" w:firstLineChars="0"/>
        <w:rPr>
          <w:rFonts w:ascii="Times New Roman" w:hAnsi="Times New Roman"/>
          <w:color w:val="auto"/>
          <w:highlight w:val="none"/>
        </w:rPr>
      </w:pPr>
      <w:r>
        <w:rPr>
          <w:rFonts w:ascii="Times New Roman" w:hAnsi="Times New Roman"/>
          <w:color w:val="auto"/>
          <w:highlight w:val="none"/>
        </w:rPr>
        <w:br w:type="page"/>
      </w:r>
    </w:p>
    <w:p w14:paraId="23895EDD">
      <w:pPr>
        <w:numPr>
          <w:ilvl w:val="0"/>
          <w:numId w:val="0"/>
        </w:numPr>
        <w:tabs>
          <w:tab w:val="left" w:pos="0"/>
        </w:tabs>
        <w:ind w:left="0" w:leftChars="0" w:firstLine="397" w:firstLineChars="0"/>
        <w:jc w:val="center"/>
        <w:outlineLvl w:val="2"/>
        <w:rPr>
          <w:b/>
          <w:bCs/>
          <w:color w:val="auto"/>
          <w:sz w:val="32"/>
          <w:szCs w:val="32"/>
          <w:highlight w:val="none"/>
        </w:rPr>
      </w:pPr>
      <w:r>
        <w:rPr>
          <w:rFonts w:hint="eastAsia" w:ascii="宋体" w:hAnsi="宋体" w:eastAsia="宋体" w:cs="宋体"/>
          <w:b/>
          <w:bCs/>
          <w:color w:val="auto"/>
          <w:kern w:val="2"/>
          <w:sz w:val="32"/>
          <w:szCs w:val="32"/>
          <w:highlight w:val="none"/>
          <w:lang w:val="en-US" w:eastAsia="zh-CN" w:bidi="ar-SA"/>
        </w:rPr>
        <w:t>十一、</w:t>
      </w:r>
      <w:r>
        <w:rPr>
          <w:b/>
          <w:bCs/>
          <w:color w:val="auto"/>
          <w:sz w:val="32"/>
          <w:szCs w:val="32"/>
          <w:highlight w:val="none"/>
        </w:rPr>
        <w:t>项目主要管理及技术人员情况</w:t>
      </w:r>
    </w:p>
    <w:p w14:paraId="69E2FF42">
      <w:pPr>
        <w:rPr>
          <w:color w:val="auto"/>
          <w:highlight w:val="none"/>
        </w:rPr>
      </w:pP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3"/>
        <w:gridCol w:w="779"/>
        <w:gridCol w:w="839"/>
        <w:gridCol w:w="854"/>
        <w:gridCol w:w="837"/>
        <w:gridCol w:w="1349"/>
        <w:gridCol w:w="958"/>
        <w:gridCol w:w="913"/>
        <w:gridCol w:w="877"/>
      </w:tblGrid>
      <w:tr w14:paraId="4C68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pct"/>
            <w:vMerge w:val="restart"/>
            <w:shd w:val="clear" w:color="auto" w:fill="B8CCE4"/>
            <w:vAlign w:val="center"/>
          </w:tcPr>
          <w:p w14:paraId="0A8FA000">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类别</w:t>
            </w:r>
          </w:p>
        </w:tc>
        <w:tc>
          <w:tcPr>
            <w:tcW w:w="457" w:type="pct"/>
            <w:vMerge w:val="restart"/>
            <w:shd w:val="clear" w:color="auto" w:fill="B8CCE4"/>
            <w:vAlign w:val="center"/>
          </w:tcPr>
          <w:p w14:paraId="353732DF">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姓名</w:t>
            </w:r>
          </w:p>
        </w:tc>
        <w:tc>
          <w:tcPr>
            <w:tcW w:w="492" w:type="pct"/>
            <w:vMerge w:val="restart"/>
            <w:shd w:val="clear" w:color="auto" w:fill="B8CCE4"/>
            <w:vAlign w:val="center"/>
          </w:tcPr>
          <w:p w14:paraId="507DCEFA">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职务</w:t>
            </w:r>
          </w:p>
        </w:tc>
        <w:tc>
          <w:tcPr>
            <w:tcW w:w="501" w:type="pct"/>
            <w:vMerge w:val="restart"/>
            <w:shd w:val="clear" w:color="auto" w:fill="B8CCE4"/>
            <w:vAlign w:val="center"/>
          </w:tcPr>
          <w:p w14:paraId="07D928F0">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职称</w:t>
            </w:r>
          </w:p>
        </w:tc>
        <w:tc>
          <w:tcPr>
            <w:tcW w:w="491" w:type="pct"/>
            <w:vMerge w:val="restart"/>
            <w:shd w:val="clear" w:color="auto" w:fill="B8CCE4"/>
            <w:vAlign w:val="center"/>
          </w:tcPr>
          <w:p w14:paraId="3960D10E">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学历</w:t>
            </w:r>
          </w:p>
        </w:tc>
        <w:tc>
          <w:tcPr>
            <w:tcW w:w="2402" w:type="pct"/>
            <w:gridSpan w:val="4"/>
            <w:shd w:val="clear" w:color="auto" w:fill="B8CCE4"/>
          </w:tcPr>
          <w:p w14:paraId="1354B341">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上岗资格证明（执业资格或专业等级）</w:t>
            </w:r>
          </w:p>
        </w:tc>
      </w:tr>
      <w:tr w14:paraId="63D8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pct"/>
            <w:vMerge w:val="continue"/>
            <w:shd w:val="clear" w:color="auto" w:fill="B8CCE4"/>
          </w:tcPr>
          <w:p w14:paraId="662187D5">
            <w:pPr>
              <w:spacing w:line="360" w:lineRule="exact"/>
              <w:rPr>
                <w:rFonts w:hint="eastAsia" w:ascii="宋体" w:hAnsi="宋体" w:cs="宋体"/>
                <w:b/>
                <w:color w:val="auto"/>
                <w:sz w:val="22"/>
                <w:highlight w:val="none"/>
              </w:rPr>
            </w:pPr>
          </w:p>
        </w:tc>
        <w:tc>
          <w:tcPr>
            <w:tcW w:w="457" w:type="pct"/>
            <w:vMerge w:val="continue"/>
            <w:shd w:val="clear" w:color="auto" w:fill="B8CCE4"/>
          </w:tcPr>
          <w:p w14:paraId="79B214D8">
            <w:pPr>
              <w:spacing w:line="360" w:lineRule="exact"/>
              <w:rPr>
                <w:rFonts w:hint="eastAsia" w:ascii="宋体" w:hAnsi="宋体" w:cs="宋体"/>
                <w:b/>
                <w:color w:val="auto"/>
                <w:sz w:val="22"/>
                <w:highlight w:val="none"/>
              </w:rPr>
            </w:pPr>
          </w:p>
        </w:tc>
        <w:tc>
          <w:tcPr>
            <w:tcW w:w="492" w:type="pct"/>
            <w:vMerge w:val="continue"/>
            <w:shd w:val="clear" w:color="auto" w:fill="B8CCE4"/>
          </w:tcPr>
          <w:p w14:paraId="1FA1AC24">
            <w:pPr>
              <w:spacing w:line="360" w:lineRule="exact"/>
              <w:rPr>
                <w:rFonts w:hint="eastAsia" w:ascii="宋体" w:hAnsi="宋体" w:cs="宋体"/>
                <w:b/>
                <w:color w:val="auto"/>
                <w:sz w:val="22"/>
                <w:highlight w:val="none"/>
              </w:rPr>
            </w:pPr>
          </w:p>
        </w:tc>
        <w:tc>
          <w:tcPr>
            <w:tcW w:w="501" w:type="pct"/>
            <w:vMerge w:val="continue"/>
            <w:shd w:val="clear" w:color="auto" w:fill="B8CCE4"/>
          </w:tcPr>
          <w:p w14:paraId="60E09BC1">
            <w:pPr>
              <w:spacing w:line="360" w:lineRule="exact"/>
              <w:rPr>
                <w:rFonts w:hint="eastAsia" w:ascii="宋体" w:hAnsi="宋体" w:cs="宋体"/>
                <w:b/>
                <w:color w:val="auto"/>
                <w:sz w:val="22"/>
                <w:highlight w:val="none"/>
              </w:rPr>
            </w:pPr>
          </w:p>
        </w:tc>
        <w:tc>
          <w:tcPr>
            <w:tcW w:w="491" w:type="pct"/>
            <w:vMerge w:val="continue"/>
            <w:shd w:val="clear" w:color="auto" w:fill="B8CCE4"/>
          </w:tcPr>
          <w:p w14:paraId="6CF00738">
            <w:pPr>
              <w:spacing w:line="360" w:lineRule="exact"/>
              <w:rPr>
                <w:rFonts w:hint="eastAsia" w:ascii="宋体" w:hAnsi="宋体" w:cs="宋体"/>
                <w:b/>
                <w:color w:val="auto"/>
                <w:sz w:val="22"/>
                <w:highlight w:val="none"/>
              </w:rPr>
            </w:pPr>
          </w:p>
        </w:tc>
        <w:tc>
          <w:tcPr>
            <w:tcW w:w="791" w:type="pct"/>
            <w:shd w:val="clear" w:color="auto" w:fill="B8CCE4"/>
          </w:tcPr>
          <w:p w14:paraId="16D2FDA2">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证书名称</w:t>
            </w:r>
          </w:p>
        </w:tc>
        <w:tc>
          <w:tcPr>
            <w:tcW w:w="562" w:type="pct"/>
            <w:shd w:val="clear" w:color="auto" w:fill="B8CCE4"/>
          </w:tcPr>
          <w:p w14:paraId="30577719">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级别</w:t>
            </w:r>
          </w:p>
        </w:tc>
        <w:tc>
          <w:tcPr>
            <w:tcW w:w="535" w:type="pct"/>
            <w:shd w:val="clear" w:color="auto" w:fill="B8CCE4"/>
          </w:tcPr>
          <w:p w14:paraId="66F3E9A7">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证号</w:t>
            </w:r>
          </w:p>
        </w:tc>
        <w:tc>
          <w:tcPr>
            <w:tcW w:w="513" w:type="pct"/>
            <w:shd w:val="clear" w:color="auto" w:fill="B8CCE4"/>
          </w:tcPr>
          <w:p w14:paraId="58A58F18">
            <w:pPr>
              <w:spacing w:line="360" w:lineRule="exact"/>
              <w:jc w:val="center"/>
              <w:rPr>
                <w:rFonts w:hint="eastAsia" w:ascii="宋体" w:hAnsi="宋体" w:cs="宋体"/>
                <w:b/>
                <w:color w:val="auto"/>
                <w:sz w:val="22"/>
                <w:highlight w:val="none"/>
              </w:rPr>
            </w:pPr>
            <w:r>
              <w:rPr>
                <w:rFonts w:hint="eastAsia" w:ascii="宋体" w:hAnsi="宋体" w:cs="宋体"/>
                <w:b/>
                <w:color w:val="auto"/>
                <w:sz w:val="22"/>
                <w:highlight w:val="none"/>
              </w:rPr>
              <w:t>专业</w:t>
            </w:r>
          </w:p>
        </w:tc>
      </w:tr>
      <w:tr w14:paraId="2826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653" w:type="pct"/>
            <w:vAlign w:val="center"/>
          </w:tcPr>
          <w:p w14:paraId="29F1CA0F">
            <w:pPr>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项目</w:t>
            </w:r>
          </w:p>
          <w:p w14:paraId="2E26B708">
            <w:pPr>
              <w:spacing w:line="360" w:lineRule="exact"/>
              <w:jc w:val="center"/>
              <w:rPr>
                <w:rFonts w:hint="eastAsia" w:ascii="宋体" w:hAnsi="宋体" w:cs="宋体"/>
                <w:bCs/>
                <w:color w:val="auto"/>
                <w:sz w:val="22"/>
                <w:highlight w:val="none"/>
              </w:rPr>
            </w:pPr>
            <w:r>
              <w:rPr>
                <w:rFonts w:hint="eastAsia" w:ascii="宋体" w:hAnsi="宋体" w:cs="宋体"/>
                <w:color w:val="auto"/>
                <w:kern w:val="0"/>
                <w:sz w:val="22"/>
                <w:highlight w:val="none"/>
              </w:rPr>
              <w:t>负责人</w:t>
            </w:r>
          </w:p>
        </w:tc>
        <w:tc>
          <w:tcPr>
            <w:tcW w:w="457" w:type="pct"/>
          </w:tcPr>
          <w:p w14:paraId="6850046E">
            <w:pPr>
              <w:spacing w:line="360" w:lineRule="exact"/>
              <w:rPr>
                <w:rFonts w:hint="eastAsia" w:ascii="宋体" w:hAnsi="宋体" w:cs="宋体"/>
                <w:bCs/>
                <w:color w:val="auto"/>
                <w:sz w:val="22"/>
                <w:highlight w:val="none"/>
              </w:rPr>
            </w:pPr>
          </w:p>
        </w:tc>
        <w:tc>
          <w:tcPr>
            <w:tcW w:w="492" w:type="pct"/>
          </w:tcPr>
          <w:p w14:paraId="3EFF418A">
            <w:pPr>
              <w:spacing w:line="360" w:lineRule="exact"/>
              <w:rPr>
                <w:rFonts w:hint="eastAsia" w:ascii="宋体" w:hAnsi="宋体" w:cs="宋体"/>
                <w:bCs/>
                <w:color w:val="auto"/>
                <w:sz w:val="22"/>
                <w:highlight w:val="none"/>
              </w:rPr>
            </w:pPr>
          </w:p>
        </w:tc>
        <w:tc>
          <w:tcPr>
            <w:tcW w:w="501" w:type="pct"/>
          </w:tcPr>
          <w:p w14:paraId="1E406BA9">
            <w:pPr>
              <w:spacing w:line="360" w:lineRule="exact"/>
              <w:rPr>
                <w:rFonts w:hint="eastAsia" w:ascii="宋体" w:hAnsi="宋体" w:cs="宋体"/>
                <w:bCs/>
                <w:color w:val="auto"/>
                <w:sz w:val="22"/>
                <w:highlight w:val="none"/>
              </w:rPr>
            </w:pPr>
          </w:p>
        </w:tc>
        <w:tc>
          <w:tcPr>
            <w:tcW w:w="491" w:type="pct"/>
          </w:tcPr>
          <w:p w14:paraId="4D2D380C">
            <w:pPr>
              <w:spacing w:line="360" w:lineRule="exact"/>
              <w:rPr>
                <w:rFonts w:hint="eastAsia" w:ascii="宋体" w:hAnsi="宋体" w:cs="宋体"/>
                <w:bCs/>
                <w:color w:val="auto"/>
                <w:sz w:val="22"/>
                <w:highlight w:val="none"/>
              </w:rPr>
            </w:pPr>
          </w:p>
        </w:tc>
        <w:tc>
          <w:tcPr>
            <w:tcW w:w="791" w:type="pct"/>
          </w:tcPr>
          <w:p w14:paraId="51DDD9CA">
            <w:pPr>
              <w:spacing w:line="360" w:lineRule="exact"/>
              <w:rPr>
                <w:rFonts w:hint="eastAsia" w:ascii="宋体" w:hAnsi="宋体" w:cs="宋体"/>
                <w:bCs/>
                <w:color w:val="auto"/>
                <w:sz w:val="22"/>
                <w:highlight w:val="none"/>
              </w:rPr>
            </w:pPr>
          </w:p>
        </w:tc>
        <w:tc>
          <w:tcPr>
            <w:tcW w:w="562" w:type="pct"/>
          </w:tcPr>
          <w:p w14:paraId="7315CF7C">
            <w:pPr>
              <w:spacing w:line="360" w:lineRule="exact"/>
              <w:rPr>
                <w:rFonts w:hint="eastAsia" w:ascii="宋体" w:hAnsi="宋体" w:cs="宋体"/>
                <w:bCs/>
                <w:color w:val="auto"/>
                <w:sz w:val="22"/>
                <w:highlight w:val="none"/>
              </w:rPr>
            </w:pPr>
          </w:p>
        </w:tc>
        <w:tc>
          <w:tcPr>
            <w:tcW w:w="535" w:type="pct"/>
          </w:tcPr>
          <w:p w14:paraId="5C01388B">
            <w:pPr>
              <w:spacing w:line="360" w:lineRule="exact"/>
              <w:rPr>
                <w:rFonts w:hint="eastAsia" w:ascii="宋体" w:hAnsi="宋体" w:cs="宋体"/>
                <w:bCs/>
                <w:color w:val="auto"/>
                <w:sz w:val="22"/>
                <w:highlight w:val="none"/>
              </w:rPr>
            </w:pPr>
          </w:p>
        </w:tc>
        <w:tc>
          <w:tcPr>
            <w:tcW w:w="513" w:type="pct"/>
          </w:tcPr>
          <w:p w14:paraId="045F5FD7">
            <w:pPr>
              <w:spacing w:line="360" w:lineRule="exact"/>
              <w:rPr>
                <w:rFonts w:hint="eastAsia" w:ascii="宋体" w:hAnsi="宋体" w:cs="宋体"/>
                <w:bCs/>
                <w:color w:val="auto"/>
                <w:sz w:val="22"/>
                <w:highlight w:val="none"/>
              </w:rPr>
            </w:pPr>
          </w:p>
        </w:tc>
      </w:tr>
      <w:tr w14:paraId="7EEA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restart"/>
            <w:vAlign w:val="center"/>
          </w:tcPr>
          <w:p w14:paraId="6EFEFFF6">
            <w:pPr>
              <w:spacing w:line="360" w:lineRule="exact"/>
              <w:jc w:val="center"/>
              <w:rPr>
                <w:rFonts w:hint="eastAsia" w:ascii="宋体" w:hAnsi="宋体" w:cs="宋体"/>
                <w:bCs/>
                <w:color w:val="auto"/>
                <w:sz w:val="22"/>
                <w:highlight w:val="none"/>
              </w:rPr>
            </w:pPr>
            <w:r>
              <w:rPr>
                <w:rFonts w:hint="eastAsia" w:ascii="宋体" w:hAnsi="宋体" w:cs="宋体"/>
                <w:color w:val="auto"/>
                <w:kern w:val="0"/>
                <w:sz w:val="22"/>
                <w:highlight w:val="none"/>
              </w:rPr>
              <w:t>其他项目组成员</w:t>
            </w:r>
          </w:p>
        </w:tc>
        <w:tc>
          <w:tcPr>
            <w:tcW w:w="457" w:type="pct"/>
          </w:tcPr>
          <w:p w14:paraId="20AAC737">
            <w:pPr>
              <w:spacing w:line="360" w:lineRule="exact"/>
              <w:rPr>
                <w:rFonts w:hint="eastAsia" w:ascii="宋体" w:hAnsi="宋体" w:cs="宋体"/>
                <w:bCs/>
                <w:color w:val="auto"/>
                <w:sz w:val="22"/>
                <w:highlight w:val="none"/>
              </w:rPr>
            </w:pPr>
          </w:p>
        </w:tc>
        <w:tc>
          <w:tcPr>
            <w:tcW w:w="492" w:type="pct"/>
          </w:tcPr>
          <w:p w14:paraId="488BA5C3">
            <w:pPr>
              <w:spacing w:line="360" w:lineRule="exact"/>
              <w:rPr>
                <w:rFonts w:hint="eastAsia" w:ascii="宋体" w:hAnsi="宋体" w:cs="宋体"/>
                <w:bCs/>
                <w:color w:val="auto"/>
                <w:sz w:val="22"/>
                <w:highlight w:val="none"/>
              </w:rPr>
            </w:pPr>
          </w:p>
        </w:tc>
        <w:tc>
          <w:tcPr>
            <w:tcW w:w="501" w:type="pct"/>
          </w:tcPr>
          <w:p w14:paraId="324920EA">
            <w:pPr>
              <w:spacing w:line="360" w:lineRule="exact"/>
              <w:rPr>
                <w:rFonts w:hint="eastAsia" w:ascii="宋体" w:hAnsi="宋体" w:cs="宋体"/>
                <w:bCs/>
                <w:color w:val="auto"/>
                <w:sz w:val="22"/>
                <w:highlight w:val="none"/>
              </w:rPr>
            </w:pPr>
          </w:p>
        </w:tc>
        <w:tc>
          <w:tcPr>
            <w:tcW w:w="491" w:type="pct"/>
          </w:tcPr>
          <w:p w14:paraId="5C3FD09B">
            <w:pPr>
              <w:spacing w:line="360" w:lineRule="exact"/>
              <w:rPr>
                <w:rFonts w:hint="eastAsia" w:ascii="宋体" w:hAnsi="宋体" w:cs="宋体"/>
                <w:bCs/>
                <w:color w:val="auto"/>
                <w:sz w:val="22"/>
                <w:highlight w:val="none"/>
              </w:rPr>
            </w:pPr>
          </w:p>
        </w:tc>
        <w:tc>
          <w:tcPr>
            <w:tcW w:w="791" w:type="pct"/>
          </w:tcPr>
          <w:p w14:paraId="1D42A48B">
            <w:pPr>
              <w:spacing w:line="360" w:lineRule="exact"/>
              <w:rPr>
                <w:rFonts w:hint="eastAsia" w:ascii="宋体" w:hAnsi="宋体" w:cs="宋体"/>
                <w:bCs/>
                <w:color w:val="auto"/>
                <w:sz w:val="22"/>
                <w:highlight w:val="none"/>
              </w:rPr>
            </w:pPr>
          </w:p>
        </w:tc>
        <w:tc>
          <w:tcPr>
            <w:tcW w:w="562" w:type="pct"/>
          </w:tcPr>
          <w:p w14:paraId="2CD7D3A4">
            <w:pPr>
              <w:spacing w:line="360" w:lineRule="exact"/>
              <w:rPr>
                <w:rFonts w:hint="eastAsia" w:ascii="宋体" w:hAnsi="宋体" w:cs="宋体"/>
                <w:bCs/>
                <w:color w:val="auto"/>
                <w:sz w:val="22"/>
                <w:highlight w:val="none"/>
              </w:rPr>
            </w:pPr>
          </w:p>
        </w:tc>
        <w:tc>
          <w:tcPr>
            <w:tcW w:w="535" w:type="pct"/>
          </w:tcPr>
          <w:p w14:paraId="5551141C">
            <w:pPr>
              <w:spacing w:line="360" w:lineRule="exact"/>
              <w:rPr>
                <w:rFonts w:hint="eastAsia" w:ascii="宋体" w:hAnsi="宋体" w:cs="宋体"/>
                <w:bCs/>
                <w:color w:val="auto"/>
                <w:sz w:val="22"/>
                <w:highlight w:val="none"/>
              </w:rPr>
            </w:pPr>
          </w:p>
        </w:tc>
        <w:tc>
          <w:tcPr>
            <w:tcW w:w="513" w:type="pct"/>
          </w:tcPr>
          <w:p w14:paraId="69C6419A">
            <w:pPr>
              <w:spacing w:line="360" w:lineRule="exact"/>
              <w:rPr>
                <w:rFonts w:hint="eastAsia" w:ascii="宋体" w:hAnsi="宋体" w:cs="宋体"/>
                <w:bCs/>
                <w:color w:val="auto"/>
                <w:sz w:val="22"/>
                <w:highlight w:val="none"/>
              </w:rPr>
            </w:pPr>
          </w:p>
        </w:tc>
      </w:tr>
      <w:tr w14:paraId="6890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continue"/>
          </w:tcPr>
          <w:p w14:paraId="6B19A27F">
            <w:pPr>
              <w:spacing w:line="360" w:lineRule="exact"/>
              <w:rPr>
                <w:rFonts w:hint="eastAsia" w:ascii="宋体" w:hAnsi="宋体" w:cs="宋体"/>
                <w:bCs/>
                <w:color w:val="auto"/>
                <w:sz w:val="22"/>
                <w:highlight w:val="none"/>
              </w:rPr>
            </w:pPr>
          </w:p>
        </w:tc>
        <w:tc>
          <w:tcPr>
            <w:tcW w:w="457" w:type="pct"/>
          </w:tcPr>
          <w:p w14:paraId="3968EE15">
            <w:pPr>
              <w:spacing w:line="360" w:lineRule="exact"/>
              <w:rPr>
                <w:rFonts w:hint="eastAsia" w:ascii="宋体" w:hAnsi="宋体" w:cs="宋体"/>
                <w:bCs/>
                <w:color w:val="auto"/>
                <w:sz w:val="22"/>
                <w:highlight w:val="none"/>
              </w:rPr>
            </w:pPr>
          </w:p>
        </w:tc>
        <w:tc>
          <w:tcPr>
            <w:tcW w:w="492" w:type="pct"/>
          </w:tcPr>
          <w:p w14:paraId="52C6F1A9">
            <w:pPr>
              <w:spacing w:line="360" w:lineRule="exact"/>
              <w:rPr>
                <w:rFonts w:hint="eastAsia" w:ascii="宋体" w:hAnsi="宋体" w:cs="宋体"/>
                <w:bCs/>
                <w:color w:val="auto"/>
                <w:sz w:val="22"/>
                <w:highlight w:val="none"/>
              </w:rPr>
            </w:pPr>
          </w:p>
        </w:tc>
        <w:tc>
          <w:tcPr>
            <w:tcW w:w="501" w:type="pct"/>
          </w:tcPr>
          <w:p w14:paraId="534AA7FD">
            <w:pPr>
              <w:spacing w:line="360" w:lineRule="exact"/>
              <w:rPr>
                <w:rFonts w:hint="eastAsia" w:ascii="宋体" w:hAnsi="宋体" w:cs="宋体"/>
                <w:bCs/>
                <w:color w:val="auto"/>
                <w:sz w:val="22"/>
                <w:highlight w:val="none"/>
              </w:rPr>
            </w:pPr>
          </w:p>
        </w:tc>
        <w:tc>
          <w:tcPr>
            <w:tcW w:w="491" w:type="pct"/>
          </w:tcPr>
          <w:p w14:paraId="2666C379">
            <w:pPr>
              <w:spacing w:line="360" w:lineRule="exact"/>
              <w:rPr>
                <w:rFonts w:hint="eastAsia" w:ascii="宋体" w:hAnsi="宋体" w:cs="宋体"/>
                <w:bCs/>
                <w:color w:val="auto"/>
                <w:sz w:val="22"/>
                <w:highlight w:val="none"/>
              </w:rPr>
            </w:pPr>
          </w:p>
        </w:tc>
        <w:tc>
          <w:tcPr>
            <w:tcW w:w="791" w:type="pct"/>
          </w:tcPr>
          <w:p w14:paraId="743B2EAA">
            <w:pPr>
              <w:spacing w:line="360" w:lineRule="exact"/>
              <w:rPr>
                <w:rFonts w:hint="eastAsia" w:ascii="宋体" w:hAnsi="宋体" w:cs="宋体"/>
                <w:bCs/>
                <w:color w:val="auto"/>
                <w:sz w:val="22"/>
                <w:highlight w:val="none"/>
              </w:rPr>
            </w:pPr>
          </w:p>
        </w:tc>
        <w:tc>
          <w:tcPr>
            <w:tcW w:w="562" w:type="pct"/>
          </w:tcPr>
          <w:p w14:paraId="6D53EBA2">
            <w:pPr>
              <w:spacing w:line="360" w:lineRule="exact"/>
              <w:rPr>
                <w:rFonts w:hint="eastAsia" w:ascii="宋体" w:hAnsi="宋体" w:cs="宋体"/>
                <w:bCs/>
                <w:color w:val="auto"/>
                <w:sz w:val="22"/>
                <w:highlight w:val="none"/>
              </w:rPr>
            </w:pPr>
          </w:p>
        </w:tc>
        <w:tc>
          <w:tcPr>
            <w:tcW w:w="535" w:type="pct"/>
          </w:tcPr>
          <w:p w14:paraId="30F137A8">
            <w:pPr>
              <w:spacing w:line="360" w:lineRule="exact"/>
              <w:rPr>
                <w:rFonts w:hint="eastAsia" w:ascii="宋体" w:hAnsi="宋体" w:cs="宋体"/>
                <w:bCs/>
                <w:color w:val="auto"/>
                <w:sz w:val="22"/>
                <w:highlight w:val="none"/>
              </w:rPr>
            </w:pPr>
          </w:p>
        </w:tc>
        <w:tc>
          <w:tcPr>
            <w:tcW w:w="513" w:type="pct"/>
          </w:tcPr>
          <w:p w14:paraId="228A1A9E">
            <w:pPr>
              <w:spacing w:line="360" w:lineRule="exact"/>
              <w:rPr>
                <w:rFonts w:hint="eastAsia" w:ascii="宋体" w:hAnsi="宋体" w:cs="宋体"/>
                <w:bCs/>
                <w:color w:val="auto"/>
                <w:sz w:val="22"/>
                <w:highlight w:val="none"/>
              </w:rPr>
            </w:pPr>
          </w:p>
        </w:tc>
      </w:tr>
      <w:tr w14:paraId="4142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continue"/>
          </w:tcPr>
          <w:p w14:paraId="3B74B90F">
            <w:pPr>
              <w:spacing w:line="360" w:lineRule="exact"/>
              <w:rPr>
                <w:rFonts w:hint="eastAsia" w:ascii="宋体" w:hAnsi="宋体" w:cs="宋体"/>
                <w:bCs/>
                <w:color w:val="auto"/>
                <w:sz w:val="22"/>
                <w:highlight w:val="none"/>
              </w:rPr>
            </w:pPr>
          </w:p>
        </w:tc>
        <w:tc>
          <w:tcPr>
            <w:tcW w:w="457" w:type="pct"/>
          </w:tcPr>
          <w:p w14:paraId="4FFA2DA1">
            <w:pPr>
              <w:spacing w:line="360" w:lineRule="exact"/>
              <w:rPr>
                <w:rFonts w:hint="eastAsia" w:ascii="宋体" w:hAnsi="宋体" w:cs="宋体"/>
                <w:bCs/>
                <w:color w:val="auto"/>
                <w:sz w:val="22"/>
                <w:highlight w:val="none"/>
              </w:rPr>
            </w:pPr>
          </w:p>
        </w:tc>
        <w:tc>
          <w:tcPr>
            <w:tcW w:w="492" w:type="pct"/>
          </w:tcPr>
          <w:p w14:paraId="4E497B72">
            <w:pPr>
              <w:spacing w:line="360" w:lineRule="exact"/>
              <w:rPr>
                <w:rFonts w:hint="eastAsia" w:ascii="宋体" w:hAnsi="宋体" w:cs="宋体"/>
                <w:bCs/>
                <w:color w:val="auto"/>
                <w:sz w:val="22"/>
                <w:highlight w:val="none"/>
              </w:rPr>
            </w:pPr>
          </w:p>
        </w:tc>
        <w:tc>
          <w:tcPr>
            <w:tcW w:w="501" w:type="pct"/>
          </w:tcPr>
          <w:p w14:paraId="5856D3C0">
            <w:pPr>
              <w:spacing w:line="360" w:lineRule="exact"/>
              <w:rPr>
                <w:rFonts w:hint="eastAsia" w:ascii="宋体" w:hAnsi="宋体" w:cs="宋体"/>
                <w:bCs/>
                <w:color w:val="auto"/>
                <w:sz w:val="22"/>
                <w:highlight w:val="none"/>
              </w:rPr>
            </w:pPr>
          </w:p>
        </w:tc>
        <w:tc>
          <w:tcPr>
            <w:tcW w:w="491" w:type="pct"/>
          </w:tcPr>
          <w:p w14:paraId="7433E62B">
            <w:pPr>
              <w:spacing w:line="360" w:lineRule="exact"/>
              <w:rPr>
                <w:rFonts w:hint="eastAsia" w:ascii="宋体" w:hAnsi="宋体" w:cs="宋体"/>
                <w:bCs/>
                <w:color w:val="auto"/>
                <w:sz w:val="22"/>
                <w:highlight w:val="none"/>
              </w:rPr>
            </w:pPr>
          </w:p>
        </w:tc>
        <w:tc>
          <w:tcPr>
            <w:tcW w:w="791" w:type="pct"/>
          </w:tcPr>
          <w:p w14:paraId="2FEE0717">
            <w:pPr>
              <w:spacing w:line="360" w:lineRule="exact"/>
              <w:rPr>
                <w:rFonts w:hint="eastAsia" w:ascii="宋体" w:hAnsi="宋体" w:cs="宋体"/>
                <w:bCs/>
                <w:color w:val="auto"/>
                <w:sz w:val="22"/>
                <w:highlight w:val="none"/>
              </w:rPr>
            </w:pPr>
          </w:p>
        </w:tc>
        <w:tc>
          <w:tcPr>
            <w:tcW w:w="562" w:type="pct"/>
          </w:tcPr>
          <w:p w14:paraId="062BB8CB">
            <w:pPr>
              <w:spacing w:line="360" w:lineRule="exact"/>
              <w:rPr>
                <w:rFonts w:hint="eastAsia" w:ascii="宋体" w:hAnsi="宋体" w:cs="宋体"/>
                <w:bCs/>
                <w:color w:val="auto"/>
                <w:sz w:val="22"/>
                <w:highlight w:val="none"/>
              </w:rPr>
            </w:pPr>
          </w:p>
        </w:tc>
        <w:tc>
          <w:tcPr>
            <w:tcW w:w="535" w:type="pct"/>
          </w:tcPr>
          <w:p w14:paraId="0F0F5C51">
            <w:pPr>
              <w:spacing w:line="360" w:lineRule="exact"/>
              <w:rPr>
                <w:rFonts w:hint="eastAsia" w:ascii="宋体" w:hAnsi="宋体" w:cs="宋体"/>
                <w:bCs/>
                <w:color w:val="auto"/>
                <w:sz w:val="22"/>
                <w:highlight w:val="none"/>
              </w:rPr>
            </w:pPr>
          </w:p>
        </w:tc>
        <w:tc>
          <w:tcPr>
            <w:tcW w:w="513" w:type="pct"/>
          </w:tcPr>
          <w:p w14:paraId="75D852CF">
            <w:pPr>
              <w:spacing w:line="360" w:lineRule="exact"/>
              <w:rPr>
                <w:rFonts w:hint="eastAsia" w:ascii="宋体" w:hAnsi="宋体" w:cs="宋体"/>
                <w:bCs/>
                <w:color w:val="auto"/>
                <w:sz w:val="22"/>
                <w:highlight w:val="none"/>
              </w:rPr>
            </w:pPr>
          </w:p>
        </w:tc>
      </w:tr>
      <w:tr w14:paraId="610A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continue"/>
          </w:tcPr>
          <w:p w14:paraId="30221D24">
            <w:pPr>
              <w:spacing w:line="360" w:lineRule="exact"/>
              <w:rPr>
                <w:rFonts w:hint="eastAsia" w:ascii="宋体" w:hAnsi="宋体" w:cs="宋体"/>
                <w:bCs/>
                <w:color w:val="auto"/>
                <w:sz w:val="22"/>
                <w:highlight w:val="none"/>
              </w:rPr>
            </w:pPr>
          </w:p>
        </w:tc>
        <w:tc>
          <w:tcPr>
            <w:tcW w:w="457" w:type="pct"/>
          </w:tcPr>
          <w:p w14:paraId="7277BFCC">
            <w:pPr>
              <w:spacing w:line="360" w:lineRule="exact"/>
              <w:rPr>
                <w:rFonts w:hint="eastAsia" w:ascii="宋体" w:hAnsi="宋体" w:cs="宋体"/>
                <w:bCs/>
                <w:color w:val="auto"/>
                <w:sz w:val="22"/>
                <w:highlight w:val="none"/>
              </w:rPr>
            </w:pPr>
          </w:p>
        </w:tc>
        <w:tc>
          <w:tcPr>
            <w:tcW w:w="492" w:type="pct"/>
          </w:tcPr>
          <w:p w14:paraId="06A7977F">
            <w:pPr>
              <w:spacing w:line="360" w:lineRule="exact"/>
              <w:rPr>
                <w:rFonts w:hint="eastAsia" w:ascii="宋体" w:hAnsi="宋体" w:cs="宋体"/>
                <w:bCs/>
                <w:color w:val="auto"/>
                <w:sz w:val="22"/>
                <w:highlight w:val="none"/>
              </w:rPr>
            </w:pPr>
          </w:p>
        </w:tc>
        <w:tc>
          <w:tcPr>
            <w:tcW w:w="501" w:type="pct"/>
          </w:tcPr>
          <w:p w14:paraId="2F9C9CC5">
            <w:pPr>
              <w:spacing w:line="360" w:lineRule="exact"/>
              <w:rPr>
                <w:rFonts w:hint="eastAsia" w:ascii="宋体" w:hAnsi="宋体" w:cs="宋体"/>
                <w:bCs/>
                <w:color w:val="auto"/>
                <w:sz w:val="22"/>
                <w:highlight w:val="none"/>
              </w:rPr>
            </w:pPr>
          </w:p>
        </w:tc>
        <w:tc>
          <w:tcPr>
            <w:tcW w:w="491" w:type="pct"/>
          </w:tcPr>
          <w:p w14:paraId="5045020B">
            <w:pPr>
              <w:spacing w:line="360" w:lineRule="exact"/>
              <w:rPr>
                <w:rFonts w:hint="eastAsia" w:ascii="宋体" w:hAnsi="宋体" w:cs="宋体"/>
                <w:bCs/>
                <w:color w:val="auto"/>
                <w:sz w:val="22"/>
                <w:highlight w:val="none"/>
              </w:rPr>
            </w:pPr>
          </w:p>
        </w:tc>
        <w:tc>
          <w:tcPr>
            <w:tcW w:w="791" w:type="pct"/>
          </w:tcPr>
          <w:p w14:paraId="3FCACAC0">
            <w:pPr>
              <w:spacing w:line="360" w:lineRule="exact"/>
              <w:rPr>
                <w:rFonts w:hint="eastAsia" w:ascii="宋体" w:hAnsi="宋体" w:cs="宋体"/>
                <w:bCs/>
                <w:color w:val="auto"/>
                <w:sz w:val="22"/>
                <w:highlight w:val="none"/>
              </w:rPr>
            </w:pPr>
          </w:p>
        </w:tc>
        <w:tc>
          <w:tcPr>
            <w:tcW w:w="562" w:type="pct"/>
          </w:tcPr>
          <w:p w14:paraId="287BE786">
            <w:pPr>
              <w:spacing w:line="360" w:lineRule="exact"/>
              <w:rPr>
                <w:rFonts w:hint="eastAsia" w:ascii="宋体" w:hAnsi="宋体" w:cs="宋体"/>
                <w:bCs/>
                <w:color w:val="auto"/>
                <w:sz w:val="22"/>
                <w:highlight w:val="none"/>
              </w:rPr>
            </w:pPr>
          </w:p>
        </w:tc>
        <w:tc>
          <w:tcPr>
            <w:tcW w:w="535" w:type="pct"/>
          </w:tcPr>
          <w:p w14:paraId="3FC59E1F">
            <w:pPr>
              <w:spacing w:line="360" w:lineRule="exact"/>
              <w:rPr>
                <w:rFonts w:hint="eastAsia" w:ascii="宋体" w:hAnsi="宋体" w:cs="宋体"/>
                <w:bCs/>
                <w:color w:val="auto"/>
                <w:sz w:val="22"/>
                <w:highlight w:val="none"/>
              </w:rPr>
            </w:pPr>
          </w:p>
        </w:tc>
        <w:tc>
          <w:tcPr>
            <w:tcW w:w="513" w:type="pct"/>
          </w:tcPr>
          <w:p w14:paraId="4321CD7B">
            <w:pPr>
              <w:spacing w:line="360" w:lineRule="exact"/>
              <w:rPr>
                <w:rFonts w:hint="eastAsia" w:ascii="宋体" w:hAnsi="宋体" w:cs="宋体"/>
                <w:bCs/>
                <w:color w:val="auto"/>
                <w:sz w:val="22"/>
                <w:highlight w:val="none"/>
              </w:rPr>
            </w:pPr>
          </w:p>
        </w:tc>
      </w:tr>
      <w:tr w14:paraId="6960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continue"/>
          </w:tcPr>
          <w:p w14:paraId="058B6A5A">
            <w:pPr>
              <w:spacing w:line="360" w:lineRule="exact"/>
              <w:rPr>
                <w:rFonts w:hint="eastAsia" w:ascii="宋体" w:hAnsi="宋体" w:cs="宋体"/>
                <w:bCs/>
                <w:color w:val="auto"/>
                <w:sz w:val="22"/>
                <w:highlight w:val="none"/>
              </w:rPr>
            </w:pPr>
          </w:p>
        </w:tc>
        <w:tc>
          <w:tcPr>
            <w:tcW w:w="457" w:type="pct"/>
          </w:tcPr>
          <w:p w14:paraId="6D263D22">
            <w:pPr>
              <w:spacing w:line="360" w:lineRule="exact"/>
              <w:rPr>
                <w:rFonts w:hint="eastAsia" w:ascii="宋体" w:hAnsi="宋体" w:cs="宋体"/>
                <w:bCs/>
                <w:color w:val="auto"/>
                <w:sz w:val="22"/>
                <w:highlight w:val="none"/>
              </w:rPr>
            </w:pPr>
          </w:p>
        </w:tc>
        <w:tc>
          <w:tcPr>
            <w:tcW w:w="492" w:type="pct"/>
          </w:tcPr>
          <w:p w14:paraId="1BA37721">
            <w:pPr>
              <w:spacing w:line="360" w:lineRule="exact"/>
              <w:rPr>
                <w:rFonts w:hint="eastAsia" w:ascii="宋体" w:hAnsi="宋体" w:cs="宋体"/>
                <w:bCs/>
                <w:color w:val="auto"/>
                <w:sz w:val="22"/>
                <w:highlight w:val="none"/>
              </w:rPr>
            </w:pPr>
          </w:p>
        </w:tc>
        <w:tc>
          <w:tcPr>
            <w:tcW w:w="501" w:type="pct"/>
          </w:tcPr>
          <w:p w14:paraId="3D6780F7">
            <w:pPr>
              <w:spacing w:line="360" w:lineRule="exact"/>
              <w:rPr>
                <w:rFonts w:hint="eastAsia" w:ascii="宋体" w:hAnsi="宋体" w:cs="宋体"/>
                <w:bCs/>
                <w:color w:val="auto"/>
                <w:sz w:val="22"/>
                <w:highlight w:val="none"/>
              </w:rPr>
            </w:pPr>
          </w:p>
        </w:tc>
        <w:tc>
          <w:tcPr>
            <w:tcW w:w="491" w:type="pct"/>
          </w:tcPr>
          <w:p w14:paraId="3A5869DF">
            <w:pPr>
              <w:spacing w:line="360" w:lineRule="exact"/>
              <w:rPr>
                <w:rFonts w:hint="eastAsia" w:ascii="宋体" w:hAnsi="宋体" w:cs="宋体"/>
                <w:bCs/>
                <w:color w:val="auto"/>
                <w:sz w:val="22"/>
                <w:highlight w:val="none"/>
              </w:rPr>
            </w:pPr>
          </w:p>
        </w:tc>
        <w:tc>
          <w:tcPr>
            <w:tcW w:w="791" w:type="pct"/>
          </w:tcPr>
          <w:p w14:paraId="29DA8361">
            <w:pPr>
              <w:spacing w:line="360" w:lineRule="exact"/>
              <w:rPr>
                <w:rFonts w:hint="eastAsia" w:ascii="宋体" w:hAnsi="宋体" w:cs="宋体"/>
                <w:bCs/>
                <w:color w:val="auto"/>
                <w:sz w:val="22"/>
                <w:highlight w:val="none"/>
              </w:rPr>
            </w:pPr>
          </w:p>
        </w:tc>
        <w:tc>
          <w:tcPr>
            <w:tcW w:w="562" w:type="pct"/>
          </w:tcPr>
          <w:p w14:paraId="64634C15">
            <w:pPr>
              <w:spacing w:line="360" w:lineRule="exact"/>
              <w:rPr>
                <w:rFonts w:hint="eastAsia" w:ascii="宋体" w:hAnsi="宋体" w:cs="宋体"/>
                <w:bCs/>
                <w:color w:val="auto"/>
                <w:sz w:val="22"/>
                <w:highlight w:val="none"/>
              </w:rPr>
            </w:pPr>
          </w:p>
        </w:tc>
        <w:tc>
          <w:tcPr>
            <w:tcW w:w="535" w:type="pct"/>
          </w:tcPr>
          <w:p w14:paraId="200F4B8C">
            <w:pPr>
              <w:spacing w:line="360" w:lineRule="exact"/>
              <w:rPr>
                <w:rFonts w:hint="eastAsia" w:ascii="宋体" w:hAnsi="宋体" w:cs="宋体"/>
                <w:bCs/>
                <w:color w:val="auto"/>
                <w:sz w:val="22"/>
                <w:highlight w:val="none"/>
              </w:rPr>
            </w:pPr>
          </w:p>
        </w:tc>
        <w:tc>
          <w:tcPr>
            <w:tcW w:w="513" w:type="pct"/>
          </w:tcPr>
          <w:p w14:paraId="77AC427E">
            <w:pPr>
              <w:spacing w:line="360" w:lineRule="exact"/>
              <w:rPr>
                <w:rFonts w:hint="eastAsia" w:ascii="宋体" w:hAnsi="宋体" w:cs="宋体"/>
                <w:bCs/>
                <w:color w:val="auto"/>
                <w:sz w:val="22"/>
                <w:highlight w:val="none"/>
              </w:rPr>
            </w:pPr>
          </w:p>
        </w:tc>
      </w:tr>
      <w:tr w14:paraId="3A5A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3" w:type="pct"/>
            <w:vMerge w:val="continue"/>
          </w:tcPr>
          <w:p w14:paraId="3AFC4275">
            <w:pPr>
              <w:spacing w:line="360" w:lineRule="exact"/>
              <w:rPr>
                <w:rFonts w:hint="eastAsia" w:ascii="宋体" w:hAnsi="宋体" w:cs="宋体"/>
                <w:bCs/>
                <w:color w:val="auto"/>
                <w:sz w:val="22"/>
                <w:highlight w:val="none"/>
              </w:rPr>
            </w:pPr>
          </w:p>
        </w:tc>
        <w:tc>
          <w:tcPr>
            <w:tcW w:w="457" w:type="pct"/>
          </w:tcPr>
          <w:p w14:paraId="7B6B07EF">
            <w:pPr>
              <w:spacing w:line="360" w:lineRule="exact"/>
              <w:rPr>
                <w:rFonts w:hint="eastAsia" w:ascii="宋体" w:hAnsi="宋体" w:cs="宋体"/>
                <w:bCs/>
                <w:color w:val="auto"/>
                <w:sz w:val="22"/>
                <w:highlight w:val="none"/>
              </w:rPr>
            </w:pPr>
          </w:p>
        </w:tc>
        <w:tc>
          <w:tcPr>
            <w:tcW w:w="492" w:type="pct"/>
          </w:tcPr>
          <w:p w14:paraId="5EB078CE">
            <w:pPr>
              <w:spacing w:line="360" w:lineRule="exact"/>
              <w:rPr>
                <w:rFonts w:hint="eastAsia" w:ascii="宋体" w:hAnsi="宋体" w:cs="宋体"/>
                <w:bCs/>
                <w:color w:val="auto"/>
                <w:sz w:val="22"/>
                <w:highlight w:val="none"/>
              </w:rPr>
            </w:pPr>
          </w:p>
        </w:tc>
        <w:tc>
          <w:tcPr>
            <w:tcW w:w="501" w:type="pct"/>
          </w:tcPr>
          <w:p w14:paraId="77B5C9CF">
            <w:pPr>
              <w:spacing w:line="360" w:lineRule="exact"/>
              <w:rPr>
                <w:rFonts w:hint="eastAsia" w:ascii="宋体" w:hAnsi="宋体" w:cs="宋体"/>
                <w:bCs/>
                <w:color w:val="auto"/>
                <w:sz w:val="22"/>
                <w:highlight w:val="none"/>
              </w:rPr>
            </w:pPr>
          </w:p>
        </w:tc>
        <w:tc>
          <w:tcPr>
            <w:tcW w:w="491" w:type="pct"/>
          </w:tcPr>
          <w:p w14:paraId="7EBB4B61">
            <w:pPr>
              <w:spacing w:line="360" w:lineRule="exact"/>
              <w:rPr>
                <w:rFonts w:hint="eastAsia" w:ascii="宋体" w:hAnsi="宋体" w:cs="宋体"/>
                <w:bCs/>
                <w:color w:val="auto"/>
                <w:sz w:val="22"/>
                <w:highlight w:val="none"/>
              </w:rPr>
            </w:pPr>
          </w:p>
        </w:tc>
        <w:tc>
          <w:tcPr>
            <w:tcW w:w="791" w:type="pct"/>
          </w:tcPr>
          <w:p w14:paraId="63E46DAF">
            <w:pPr>
              <w:spacing w:line="360" w:lineRule="exact"/>
              <w:rPr>
                <w:rFonts w:hint="eastAsia" w:ascii="宋体" w:hAnsi="宋体" w:cs="宋体"/>
                <w:bCs/>
                <w:color w:val="auto"/>
                <w:sz w:val="22"/>
                <w:highlight w:val="none"/>
              </w:rPr>
            </w:pPr>
          </w:p>
        </w:tc>
        <w:tc>
          <w:tcPr>
            <w:tcW w:w="562" w:type="pct"/>
          </w:tcPr>
          <w:p w14:paraId="5CC3C697">
            <w:pPr>
              <w:spacing w:line="360" w:lineRule="exact"/>
              <w:rPr>
                <w:rFonts w:hint="eastAsia" w:ascii="宋体" w:hAnsi="宋体" w:cs="宋体"/>
                <w:bCs/>
                <w:color w:val="auto"/>
                <w:sz w:val="22"/>
                <w:highlight w:val="none"/>
              </w:rPr>
            </w:pPr>
          </w:p>
        </w:tc>
        <w:tc>
          <w:tcPr>
            <w:tcW w:w="535" w:type="pct"/>
          </w:tcPr>
          <w:p w14:paraId="308A11BD">
            <w:pPr>
              <w:spacing w:line="360" w:lineRule="exact"/>
              <w:rPr>
                <w:rFonts w:hint="eastAsia" w:ascii="宋体" w:hAnsi="宋体" w:cs="宋体"/>
                <w:bCs/>
                <w:color w:val="auto"/>
                <w:sz w:val="22"/>
                <w:highlight w:val="none"/>
              </w:rPr>
            </w:pPr>
          </w:p>
        </w:tc>
        <w:tc>
          <w:tcPr>
            <w:tcW w:w="513" w:type="pct"/>
          </w:tcPr>
          <w:p w14:paraId="01ACFEB2">
            <w:pPr>
              <w:spacing w:line="360" w:lineRule="exact"/>
              <w:rPr>
                <w:rFonts w:hint="eastAsia" w:ascii="宋体" w:hAnsi="宋体" w:cs="宋体"/>
                <w:bCs/>
                <w:color w:val="auto"/>
                <w:sz w:val="22"/>
                <w:highlight w:val="none"/>
              </w:rPr>
            </w:pPr>
          </w:p>
        </w:tc>
      </w:tr>
    </w:tbl>
    <w:p w14:paraId="7EF003CB">
      <w:pPr>
        <w:spacing w:line="360" w:lineRule="auto"/>
        <w:ind w:right="105" w:rightChars="50"/>
        <w:rPr>
          <w:rFonts w:hint="eastAsia" w:ascii="宋体" w:hAnsi="宋体" w:cs="宋体"/>
          <w:color w:val="auto"/>
          <w:kern w:val="0"/>
          <w:sz w:val="22"/>
          <w:highlight w:val="none"/>
        </w:rPr>
      </w:pPr>
      <w:r>
        <w:rPr>
          <w:rFonts w:hint="eastAsia" w:ascii="宋体" w:hAnsi="宋体" w:cs="宋体"/>
          <w:color w:val="auto"/>
          <w:kern w:val="0"/>
          <w:sz w:val="22"/>
          <w:highlight w:val="none"/>
        </w:rPr>
        <w:t xml:space="preserve">   </w:t>
      </w:r>
    </w:p>
    <w:p w14:paraId="1C8F4F0A">
      <w:pPr>
        <w:spacing w:line="360" w:lineRule="auto"/>
        <w:ind w:right="105" w:rightChars="50" w:firstLine="327" w:firstLineChars="149"/>
        <w:rPr>
          <w:rFonts w:hint="eastAsia" w:ascii="宋体" w:hAnsi="宋体" w:cs="宋体"/>
          <w:color w:val="auto"/>
          <w:sz w:val="22"/>
          <w:highlight w:val="none"/>
        </w:rPr>
      </w:pPr>
      <w:r>
        <w:rPr>
          <w:rFonts w:hint="eastAsia" w:ascii="宋体" w:hAnsi="宋体" w:cs="宋体"/>
          <w:color w:val="auto"/>
          <w:sz w:val="22"/>
          <w:highlight w:val="none"/>
        </w:rPr>
        <w:t>注：本表可根据实际情况自行调整。</w:t>
      </w:r>
    </w:p>
    <w:p w14:paraId="7EB3B18A">
      <w:pPr>
        <w:spacing w:line="360" w:lineRule="auto"/>
        <w:ind w:firstLine="660" w:firstLineChars="300"/>
        <w:rPr>
          <w:rFonts w:ascii="宋体" w:hAnsi="宋体"/>
          <w:color w:val="auto"/>
          <w:sz w:val="22"/>
          <w:highlight w:val="none"/>
        </w:rPr>
      </w:pPr>
      <w:r>
        <w:rPr>
          <w:rFonts w:hint="eastAsia" w:ascii="宋体" w:hAnsi="宋体"/>
          <w:color w:val="auto"/>
          <w:sz w:val="22"/>
          <w:highlight w:val="none"/>
        </w:rPr>
        <w:t>须按照要求提供上述人员相关证明文件。</w:t>
      </w:r>
    </w:p>
    <w:p w14:paraId="3974D9C4">
      <w:pPr>
        <w:spacing w:line="360" w:lineRule="auto"/>
        <w:ind w:left="420" w:leftChars="200"/>
        <w:rPr>
          <w:rFonts w:hint="eastAsia" w:ascii="宋体" w:hAnsi="宋体" w:cs="宋体"/>
          <w:color w:val="auto"/>
          <w:sz w:val="22"/>
          <w:highlight w:val="none"/>
        </w:rPr>
      </w:pPr>
      <w:r>
        <w:rPr>
          <w:rFonts w:hint="eastAsia" w:ascii="宋体" w:hAnsi="宋体" w:cs="宋体"/>
          <w:color w:val="auto"/>
          <w:sz w:val="22"/>
          <w:highlight w:val="none"/>
        </w:rPr>
        <w:t xml:space="preserve">             </w:t>
      </w:r>
    </w:p>
    <w:p w14:paraId="4FE7A3B4">
      <w:pPr>
        <w:spacing w:line="360" w:lineRule="auto"/>
        <w:ind w:left="420" w:leftChars="200"/>
        <w:rPr>
          <w:rFonts w:hint="eastAsia" w:ascii="宋体" w:hAnsi="宋体" w:cs="宋体"/>
          <w:color w:val="auto"/>
          <w:sz w:val="22"/>
          <w:highlight w:val="none"/>
        </w:rPr>
      </w:pPr>
      <w:r>
        <w:rPr>
          <w:rFonts w:hint="eastAsia" w:ascii="宋体" w:hAnsi="宋体" w:cs="宋体"/>
          <w:color w:val="auto"/>
          <w:sz w:val="22"/>
          <w:highlight w:val="none"/>
        </w:rPr>
        <w:t xml:space="preserve">投标人名称（盖章）：                        </w:t>
      </w:r>
    </w:p>
    <w:p w14:paraId="0019BF9E">
      <w:pPr>
        <w:spacing w:line="360" w:lineRule="auto"/>
        <w:ind w:left="420" w:leftChars="200"/>
        <w:rPr>
          <w:rFonts w:hint="eastAsia" w:ascii="宋体" w:hAnsi="宋体" w:cs="宋体"/>
          <w:color w:val="auto"/>
          <w:sz w:val="22"/>
          <w:highlight w:val="none"/>
        </w:rPr>
      </w:pPr>
      <w:r>
        <w:rPr>
          <w:rFonts w:hint="eastAsia" w:ascii="宋体" w:hAnsi="宋体" w:cs="宋体"/>
          <w:color w:val="auto"/>
          <w:sz w:val="22"/>
          <w:highlight w:val="none"/>
        </w:rPr>
        <w:t>日期：   年   月   日</w:t>
      </w:r>
    </w:p>
    <w:p w14:paraId="47BEEA55">
      <w:pPr>
        <w:adjustRightInd w:val="0"/>
        <w:snapToGrid w:val="0"/>
        <w:spacing w:line="360" w:lineRule="exact"/>
        <w:jc w:val="center"/>
        <w:rPr>
          <w:b/>
          <w:bCs/>
          <w:color w:val="auto"/>
          <w:sz w:val="32"/>
          <w:szCs w:val="32"/>
          <w:highlight w:val="none"/>
        </w:rPr>
      </w:pPr>
      <w:r>
        <w:rPr>
          <w:b/>
          <w:bCs/>
          <w:color w:val="auto"/>
          <w:sz w:val="32"/>
          <w:szCs w:val="32"/>
          <w:highlight w:val="none"/>
        </w:rPr>
        <w:br w:type="page"/>
      </w:r>
    </w:p>
    <w:p w14:paraId="726E53DE">
      <w:pPr>
        <w:tabs>
          <w:tab w:val="left" w:pos="0"/>
        </w:tabs>
        <w:ind w:left="397"/>
        <w:jc w:val="center"/>
        <w:outlineLvl w:val="2"/>
        <w:rPr>
          <w:rFonts w:hint="eastAsia"/>
          <w:b/>
          <w:bCs/>
          <w:color w:val="auto"/>
          <w:sz w:val="32"/>
          <w:szCs w:val="32"/>
          <w:highlight w:val="none"/>
        </w:rPr>
      </w:pPr>
      <w:r>
        <w:rPr>
          <w:rFonts w:hint="eastAsia"/>
          <w:b/>
          <w:bCs/>
          <w:color w:val="auto"/>
          <w:sz w:val="32"/>
          <w:szCs w:val="32"/>
          <w:highlight w:val="none"/>
        </w:rPr>
        <w:t>承诺书</w:t>
      </w:r>
    </w:p>
    <w:p w14:paraId="7F9CAB1A">
      <w:pPr>
        <w:tabs>
          <w:tab w:val="left" w:pos="567"/>
        </w:tabs>
        <w:spacing w:line="360" w:lineRule="auto"/>
        <w:ind w:firstLine="643" w:firstLineChars="200"/>
        <w:jc w:val="left"/>
        <w:rPr>
          <w:rFonts w:hint="eastAsia"/>
          <w:b/>
          <w:bCs/>
          <w:color w:val="auto"/>
          <w:sz w:val="32"/>
          <w:szCs w:val="32"/>
          <w:highlight w:val="none"/>
        </w:rPr>
      </w:pPr>
    </w:p>
    <w:p w14:paraId="15693D1E">
      <w:pPr>
        <w:spacing w:line="360" w:lineRule="exact"/>
        <w:rPr>
          <w:b/>
          <w:color w:val="auto"/>
          <w:sz w:val="22"/>
          <w:highlight w:val="none"/>
        </w:rPr>
      </w:pPr>
      <w:r>
        <w:rPr>
          <w:color w:val="auto"/>
          <w:sz w:val="22"/>
          <w:highlight w:val="none"/>
        </w:rPr>
        <w:t>致：深圳市东海国际招标有限公司</w:t>
      </w:r>
    </w:p>
    <w:p w14:paraId="48A5F3A7">
      <w:pPr>
        <w:widowControl/>
        <w:autoSpaceDE w:val="0"/>
        <w:autoSpaceDN w:val="0"/>
        <w:spacing w:line="360" w:lineRule="exact"/>
        <w:ind w:right="17" w:firstLine="440" w:firstLineChars="200"/>
        <w:textAlignment w:val="bottom"/>
        <w:rPr>
          <w:color w:val="auto"/>
          <w:sz w:val="22"/>
          <w:highlight w:val="none"/>
        </w:rPr>
      </w:pPr>
    </w:p>
    <w:p w14:paraId="55B5CB8A">
      <w:pPr>
        <w:tabs>
          <w:tab w:val="left" w:pos="567"/>
        </w:tabs>
        <w:spacing w:line="360" w:lineRule="auto"/>
        <w:ind w:firstLine="440" w:firstLineChars="200"/>
        <w:jc w:val="left"/>
        <w:rPr>
          <w:color w:val="auto"/>
          <w:sz w:val="22"/>
          <w:highlight w:val="none"/>
        </w:rPr>
      </w:pPr>
      <w:r>
        <w:rPr>
          <w:rFonts w:hint="eastAsia"/>
          <w:color w:val="auto"/>
          <w:sz w:val="22"/>
          <w:highlight w:val="none"/>
        </w:rPr>
        <w:t>我公司承诺未出现以下情况：</w:t>
      </w:r>
    </w:p>
    <w:p w14:paraId="42C7FFF8">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《深圳经济特区政府采购条例实施细则》第七十五条 供应商有下列情形的，属于采购条例所称的串通投标行为，按照采购条例第五十七条有关规定处理：</w:t>
      </w:r>
    </w:p>
    <w:p w14:paraId="41C967A9">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（一）投标供应商之间相互约定给予未中标的供应商利益补偿；</w:t>
      </w:r>
    </w:p>
    <w:p w14:paraId="507023E9">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（二）不同投标供应商的法定代表人、主要经营负责人、项目投标授权代表人、项目负责人、主要技术人员为同一人、属同一单位或者在同一单位缴纳社会保险；</w:t>
      </w:r>
    </w:p>
    <w:p w14:paraId="071D3CA6">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（三）不同投标供应商的投标文件由同一单位或者同一人编制，或者由同一人分阶段参与编制的；</w:t>
      </w:r>
    </w:p>
    <w:p w14:paraId="04178A2C">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（四）不同投标供应商的投标文件或部分投标文件相互混装；</w:t>
      </w:r>
    </w:p>
    <w:p w14:paraId="386CEE0F">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（五）不同投标供应商的投标文件内容存在非正常一致；</w:t>
      </w:r>
    </w:p>
    <w:p w14:paraId="484DB88F">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（六）由同一单位工作人员为两家以上（含两家）供应商进行同一项投标活动的；</w:t>
      </w:r>
    </w:p>
    <w:p w14:paraId="3ACB9911">
      <w:pPr>
        <w:tabs>
          <w:tab w:val="left" w:pos="567"/>
        </w:tabs>
        <w:spacing w:line="360" w:lineRule="auto"/>
        <w:ind w:firstLine="440" w:firstLineChars="200"/>
        <w:jc w:val="left"/>
        <w:rPr>
          <w:rFonts w:hint="eastAsia"/>
          <w:color w:val="auto"/>
          <w:sz w:val="22"/>
          <w:highlight w:val="none"/>
        </w:rPr>
      </w:pPr>
      <w:r>
        <w:rPr>
          <w:rFonts w:hint="eastAsia"/>
          <w:color w:val="auto"/>
          <w:sz w:val="22"/>
          <w:highlight w:val="none"/>
        </w:rPr>
        <w:t>（七）主管部门依照法律、法规认定的其他情形。</w:t>
      </w:r>
    </w:p>
    <w:p w14:paraId="1FBDE018">
      <w:pPr>
        <w:widowControl/>
        <w:autoSpaceDE w:val="0"/>
        <w:autoSpaceDN w:val="0"/>
        <w:spacing w:line="360" w:lineRule="exact"/>
        <w:ind w:right="893"/>
        <w:textAlignment w:val="bottom"/>
        <w:rPr>
          <w:color w:val="auto"/>
          <w:sz w:val="22"/>
          <w:highlight w:val="none"/>
        </w:rPr>
      </w:pPr>
    </w:p>
    <w:p w14:paraId="4B61A2A3">
      <w:pPr>
        <w:widowControl/>
        <w:autoSpaceDE w:val="0"/>
        <w:autoSpaceDN w:val="0"/>
        <w:spacing w:line="360" w:lineRule="exact"/>
        <w:ind w:right="893"/>
        <w:textAlignment w:val="bottom"/>
        <w:rPr>
          <w:color w:val="auto"/>
          <w:sz w:val="22"/>
          <w:highlight w:val="none"/>
        </w:rPr>
      </w:pPr>
    </w:p>
    <w:p w14:paraId="68654F99">
      <w:pPr>
        <w:tabs>
          <w:tab w:val="left" w:pos="567"/>
        </w:tabs>
        <w:spacing w:line="360" w:lineRule="auto"/>
        <w:ind w:firstLine="440" w:firstLineChars="200"/>
        <w:jc w:val="left"/>
        <w:rPr>
          <w:rFonts w:hint="eastAsia" w:ascii="宋体" w:hAnsi="宋体" w:cs="宋体"/>
          <w:color w:val="auto"/>
          <w:sz w:val="22"/>
          <w:highlight w:val="none"/>
        </w:rPr>
      </w:pPr>
      <w:r>
        <w:rPr>
          <w:color w:val="auto"/>
          <w:sz w:val="22"/>
          <w:highlight w:val="none"/>
        </w:rPr>
        <w:t>特此</w:t>
      </w:r>
      <w:r>
        <w:rPr>
          <w:rFonts w:hint="eastAsia"/>
          <w:color w:val="auto"/>
          <w:sz w:val="22"/>
          <w:highlight w:val="none"/>
        </w:rPr>
        <w:t>承诺，</w:t>
      </w:r>
      <w:r>
        <w:rPr>
          <w:rFonts w:hint="eastAsia" w:ascii="宋体" w:hAnsi="宋体" w:cs="宋体"/>
          <w:color w:val="auto"/>
          <w:sz w:val="22"/>
          <w:highlight w:val="none"/>
        </w:rPr>
        <w:t>如有违反，愿依照国家相关法律处理，并承担由此给采购人带来的损失。</w:t>
      </w:r>
    </w:p>
    <w:p w14:paraId="09D290F7">
      <w:pPr>
        <w:widowControl/>
        <w:autoSpaceDE w:val="0"/>
        <w:autoSpaceDN w:val="0"/>
        <w:spacing w:line="360" w:lineRule="exact"/>
        <w:ind w:right="893" w:firstLine="440" w:firstLineChars="200"/>
        <w:textAlignment w:val="bottom"/>
        <w:rPr>
          <w:color w:val="auto"/>
          <w:sz w:val="22"/>
          <w:highlight w:val="none"/>
        </w:rPr>
      </w:pPr>
    </w:p>
    <w:p w14:paraId="6338C4B4">
      <w:pPr>
        <w:widowControl/>
        <w:autoSpaceDE w:val="0"/>
        <w:autoSpaceDN w:val="0"/>
        <w:spacing w:line="360" w:lineRule="exact"/>
        <w:ind w:right="893"/>
        <w:textAlignment w:val="bottom"/>
        <w:rPr>
          <w:color w:val="auto"/>
          <w:sz w:val="22"/>
          <w:highlight w:val="none"/>
        </w:rPr>
      </w:pPr>
    </w:p>
    <w:p w14:paraId="11A8FC20">
      <w:pPr>
        <w:widowControl/>
        <w:autoSpaceDE w:val="0"/>
        <w:autoSpaceDN w:val="0"/>
        <w:spacing w:line="360" w:lineRule="exact"/>
        <w:ind w:right="893"/>
        <w:textAlignment w:val="bottom"/>
        <w:rPr>
          <w:color w:val="auto"/>
          <w:sz w:val="22"/>
          <w:highlight w:val="none"/>
        </w:rPr>
      </w:pPr>
    </w:p>
    <w:p w14:paraId="41BBBC77">
      <w:pPr>
        <w:spacing w:line="360" w:lineRule="exact"/>
        <w:rPr>
          <w:color w:val="auto"/>
          <w:sz w:val="22"/>
          <w:highlight w:val="none"/>
        </w:rPr>
      </w:pPr>
    </w:p>
    <w:p w14:paraId="52B9C15F">
      <w:pPr>
        <w:spacing w:line="360" w:lineRule="exact"/>
        <w:ind w:right="440"/>
        <w:jc w:val="right"/>
        <w:rPr>
          <w:bCs/>
          <w:color w:val="auto"/>
          <w:sz w:val="22"/>
          <w:highlight w:val="none"/>
        </w:rPr>
      </w:pPr>
      <w:r>
        <w:rPr>
          <w:rFonts w:hint="eastAsia"/>
          <w:bCs/>
          <w:color w:val="auto"/>
          <w:sz w:val="22"/>
          <w:highlight w:val="none"/>
        </w:rPr>
        <w:t xml:space="preserve"> </w:t>
      </w:r>
      <w:r>
        <w:rPr>
          <w:bCs/>
          <w:color w:val="auto"/>
          <w:sz w:val="22"/>
          <w:highlight w:val="none"/>
        </w:rPr>
        <w:t>投标人（公章）：</w:t>
      </w:r>
    </w:p>
    <w:p w14:paraId="4ECCA166">
      <w:pPr>
        <w:spacing w:line="360" w:lineRule="exact"/>
        <w:jc w:val="right"/>
        <w:rPr>
          <w:bCs/>
          <w:color w:val="auto"/>
          <w:sz w:val="22"/>
          <w:highlight w:val="none"/>
        </w:rPr>
      </w:pPr>
    </w:p>
    <w:p w14:paraId="4E2E3A1D">
      <w:pPr>
        <w:spacing w:line="360" w:lineRule="exact"/>
        <w:jc w:val="center"/>
        <w:rPr>
          <w:bCs/>
          <w:color w:val="auto"/>
          <w:sz w:val="22"/>
          <w:highlight w:val="none"/>
        </w:rPr>
        <w:sectPr>
          <w:pgSz w:w="11906" w:h="16838"/>
          <w:pgMar w:top="1440" w:right="1800" w:bottom="1440" w:left="1800" w:header="850" w:footer="992" w:gutter="0"/>
          <w:pgNumType w:fmt="numberInDash"/>
          <w:cols w:space="720" w:num="1"/>
          <w:titlePg/>
          <w:docGrid w:type="lines" w:linePitch="312" w:charSpace="0"/>
        </w:sectPr>
      </w:pPr>
      <w:r>
        <w:rPr>
          <w:rFonts w:hint="eastAsia"/>
          <w:bCs/>
          <w:color w:val="auto"/>
          <w:sz w:val="22"/>
          <w:highlight w:val="none"/>
        </w:rPr>
        <w:t xml:space="preserve">                                                        </w:t>
      </w:r>
      <w:r>
        <w:rPr>
          <w:bCs/>
          <w:color w:val="auto"/>
          <w:sz w:val="22"/>
          <w:highlight w:val="none"/>
        </w:rPr>
        <w:t>日期：   年  月  日</w:t>
      </w:r>
    </w:p>
    <w:p w14:paraId="137B3272">
      <w:pPr>
        <w:rPr>
          <w:bCs/>
          <w:color w:val="auto"/>
          <w:sz w:val="22"/>
          <w:highlight w:val="none"/>
        </w:rPr>
      </w:pPr>
    </w:p>
    <w:p w14:paraId="28AE5018">
      <w:pPr>
        <w:numPr>
          <w:ilvl w:val="0"/>
          <w:numId w:val="0"/>
        </w:numPr>
        <w:tabs>
          <w:tab w:val="left" w:pos="0"/>
        </w:tabs>
        <w:ind w:left="0" w:leftChars="0" w:firstLine="397" w:firstLineChars="0"/>
        <w:jc w:val="center"/>
        <w:outlineLvl w:val="2"/>
        <w:rPr>
          <w:bCs/>
          <w:color w:val="auto"/>
          <w:szCs w:val="21"/>
          <w:highlight w:val="none"/>
        </w:rPr>
      </w:pPr>
      <w:r>
        <w:rPr>
          <w:rFonts w:hint="eastAsia" w:ascii="宋体" w:hAnsi="宋体" w:eastAsia="宋体" w:cs="宋体"/>
          <w:b/>
          <w:bCs/>
          <w:color w:val="auto"/>
          <w:kern w:val="2"/>
          <w:sz w:val="32"/>
          <w:szCs w:val="32"/>
          <w:highlight w:val="none"/>
          <w:lang w:val="en-US" w:eastAsia="zh-CN" w:bidi="ar-SA"/>
        </w:rPr>
        <w:t>十二、</w:t>
      </w:r>
      <w:r>
        <w:rPr>
          <w:rFonts w:hint="eastAsia"/>
          <w:b/>
          <w:bCs/>
          <w:color w:val="auto"/>
          <w:kern w:val="0"/>
          <w:sz w:val="32"/>
          <w:szCs w:val="32"/>
          <w:highlight w:val="none"/>
        </w:rPr>
        <w:t>商务</w:t>
      </w:r>
      <w:r>
        <w:rPr>
          <w:b/>
          <w:bCs/>
          <w:color w:val="auto"/>
          <w:sz w:val="32"/>
          <w:szCs w:val="32"/>
          <w:highlight w:val="none"/>
        </w:rPr>
        <w:t>条款偏离表</w:t>
      </w:r>
    </w:p>
    <w:p w14:paraId="26512BD5">
      <w:pPr>
        <w:adjustRightInd w:val="0"/>
        <w:snapToGrid w:val="0"/>
        <w:spacing w:line="360" w:lineRule="exact"/>
        <w:rPr>
          <w:bCs/>
          <w:color w:val="auto"/>
          <w:sz w:val="22"/>
          <w:highlight w:val="none"/>
        </w:rPr>
      </w:pPr>
      <w:r>
        <w:rPr>
          <w:bCs/>
          <w:color w:val="auto"/>
          <w:sz w:val="22"/>
          <w:highlight w:val="none"/>
        </w:rPr>
        <w:t xml:space="preserve">投标人名称：                                   项目编号：                        </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078"/>
        <w:gridCol w:w="2070"/>
        <w:gridCol w:w="2345"/>
        <w:gridCol w:w="1518"/>
        <w:gridCol w:w="827"/>
      </w:tblGrid>
      <w:tr w14:paraId="07A3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tcPr>
          <w:p w14:paraId="491766BB">
            <w:pPr>
              <w:adjustRightInd w:val="0"/>
              <w:snapToGrid w:val="0"/>
              <w:spacing w:line="360" w:lineRule="exact"/>
              <w:jc w:val="center"/>
              <w:rPr>
                <w:bCs/>
                <w:color w:val="auto"/>
                <w:sz w:val="22"/>
                <w:highlight w:val="none"/>
              </w:rPr>
            </w:pPr>
            <w:r>
              <w:rPr>
                <w:bCs/>
                <w:color w:val="auto"/>
                <w:sz w:val="22"/>
                <w:highlight w:val="none"/>
              </w:rPr>
              <w:t>序号</w:t>
            </w:r>
          </w:p>
        </w:tc>
        <w:tc>
          <w:tcPr>
            <w:tcW w:w="632" w:type="pct"/>
          </w:tcPr>
          <w:p w14:paraId="778F2E12">
            <w:pPr>
              <w:adjustRightInd w:val="0"/>
              <w:snapToGrid w:val="0"/>
              <w:spacing w:line="360" w:lineRule="exact"/>
              <w:jc w:val="center"/>
              <w:rPr>
                <w:bCs/>
                <w:color w:val="auto"/>
                <w:sz w:val="22"/>
                <w:highlight w:val="none"/>
              </w:rPr>
            </w:pPr>
            <w:r>
              <w:rPr>
                <w:bCs/>
                <w:color w:val="auto"/>
                <w:sz w:val="22"/>
                <w:highlight w:val="none"/>
              </w:rPr>
              <w:t>目录</w:t>
            </w:r>
          </w:p>
        </w:tc>
        <w:tc>
          <w:tcPr>
            <w:tcW w:w="1214" w:type="pct"/>
            <w:vAlign w:val="center"/>
          </w:tcPr>
          <w:p w14:paraId="18673E7D">
            <w:pPr>
              <w:adjustRightInd w:val="0"/>
              <w:snapToGrid w:val="0"/>
              <w:spacing w:line="360" w:lineRule="exact"/>
              <w:jc w:val="center"/>
              <w:rPr>
                <w:bCs/>
                <w:color w:val="auto"/>
                <w:sz w:val="22"/>
                <w:highlight w:val="none"/>
              </w:rPr>
            </w:pPr>
            <w:r>
              <w:rPr>
                <w:rFonts w:hint="eastAsia"/>
                <w:bCs/>
                <w:color w:val="auto"/>
                <w:sz w:val="22"/>
                <w:highlight w:val="none"/>
              </w:rPr>
              <w:t>招标</w:t>
            </w:r>
            <w:r>
              <w:rPr>
                <w:bCs/>
                <w:color w:val="auto"/>
                <w:sz w:val="22"/>
                <w:highlight w:val="none"/>
              </w:rPr>
              <w:t>商务</w:t>
            </w:r>
            <w:r>
              <w:rPr>
                <w:rFonts w:hint="eastAsia"/>
                <w:bCs/>
                <w:color w:val="auto"/>
                <w:sz w:val="22"/>
                <w:highlight w:val="none"/>
              </w:rPr>
              <w:t>要</w:t>
            </w:r>
            <w:r>
              <w:rPr>
                <w:bCs/>
                <w:color w:val="auto"/>
                <w:sz w:val="22"/>
                <w:highlight w:val="none"/>
              </w:rPr>
              <w:t>求</w:t>
            </w:r>
          </w:p>
        </w:tc>
        <w:tc>
          <w:tcPr>
            <w:tcW w:w="1375" w:type="pct"/>
            <w:vAlign w:val="center"/>
          </w:tcPr>
          <w:p w14:paraId="253E10C3">
            <w:pPr>
              <w:adjustRightInd w:val="0"/>
              <w:snapToGrid w:val="0"/>
              <w:spacing w:line="360" w:lineRule="exact"/>
              <w:jc w:val="center"/>
              <w:rPr>
                <w:bCs/>
                <w:color w:val="auto"/>
                <w:sz w:val="22"/>
                <w:highlight w:val="none"/>
              </w:rPr>
            </w:pPr>
            <w:r>
              <w:rPr>
                <w:bCs/>
                <w:color w:val="auto"/>
                <w:sz w:val="22"/>
                <w:highlight w:val="none"/>
              </w:rPr>
              <w:t>投标商务响应</w:t>
            </w:r>
          </w:p>
        </w:tc>
        <w:tc>
          <w:tcPr>
            <w:tcW w:w="890" w:type="pct"/>
          </w:tcPr>
          <w:p w14:paraId="07521191">
            <w:pPr>
              <w:adjustRightInd w:val="0"/>
              <w:snapToGrid w:val="0"/>
              <w:spacing w:line="360" w:lineRule="exact"/>
              <w:jc w:val="center"/>
              <w:rPr>
                <w:bCs/>
                <w:color w:val="auto"/>
                <w:sz w:val="22"/>
                <w:highlight w:val="none"/>
              </w:rPr>
            </w:pPr>
            <w:r>
              <w:rPr>
                <w:bCs/>
                <w:color w:val="auto"/>
                <w:sz w:val="22"/>
                <w:highlight w:val="none"/>
              </w:rPr>
              <w:t>偏离情况</w:t>
            </w:r>
          </w:p>
        </w:tc>
        <w:tc>
          <w:tcPr>
            <w:tcW w:w="485" w:type="pct"/>
          </w:tcPr>
          <w:p w14:paraId="03FED567">
            <w:pPr>
              <w:adjustRightInd w:val="0"/>
              <w:snapToGrid w:val="0"/>
              <w:spacing w:line="360" w:lineRule="exact"/>
              <w:jc w:val="center"/>
              <w:rPr>
                <w:bCs/>
                <w:color w:val="auto"/>
                <w:sz w:val="22"/>
                <w:highlight w:val="none"/>
              </w:rPr>
            </w:pPr>
            <w:r>
              <w:rPr>
                <w:bCs/>
                <w:color w:val="auto"/>
                <w:sz w:val="22"/>
                <w:highlight w:val="none"/>
              </w:rPr>
              <w:t>说明</w:t>
            </w:r>
          </w:p>
        </w:tc>
      </w:tr>
      <w:tr w14:paraId="2BB2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14:paraId="540E016A">
            <w:pPr>
              <w:adjustRightInd w:val="0"/>
              <w:snapToGrid w:val="0"/>
              <w:spacing w:line="360" w:lineRule="exact"/>
              <w:jc w:val="center"/>
              <w:rPr>
                <w:color w:val="auto"/>
                <w:kern w:val="0"/>
                <w:sz w:val="22"/>
                <w:highlight w:val="none"/>
              </w:rPr>
            </w:pPr>
            <w:r>
              <w:rPr>
                <w:rFonts w:hint="eastAsia"/>
                <w:color w:val="auto"/>
                <w:kern w:val="0"/>
                <w:sz w:val="22"/>
                <w:highlight w:val="none"/>
              </w:rPr>
              <w:t>1</w:t>
            </w:r>
          </w:p>
        </w:tc>
        <w:tc>
          <w:tcPr>
            <w:tcW w:w="632" w:type="pct"/>
            <w:vAlign w:val="center"/>
          </w:tcPr>
          <w:p w14:paraId="252EF9C9">
            <w:pPr>
              <w:adjustRightInd w:val="0"/>
              <w:snapToGrid w:val="0"/>
              <w:spacing w:line="360" w:lineRule="exact"/>
              <w:rPr>
                <w:color w:val="auto"/>
                <w:kern w:val="0"/>
                <w:sz w:val="22"/>
                <w:highlight w:val="none"/>
              </w:rPr>
            </w:pPr>
          </w:p>
        </w:tc>
        <w:tc>
          <w:tcPr>
            <w:tcW w:w="1214" w:type="pct"/>
          </w:tcPr>
          <w:p w14:paraId="6589567B">
            <w:pPr>
              <w:adjustRightInd w:val="0"/>
              <w:snapToGrid w:val="0"/>
              <w:spacing w:line="360" w:lineRule="exact"/>
              <w:rPr>
                <w:color w:val="auto"/>
                <w:kern w:val="0"/>
                <w:sz w:val="22"/>
                <w:highlight w:val="none"/>
              </w:rPr>
            </w:pPr>
          </w:p>
        </w:tc>
        <w:tc>
          <w:tcPr>
            <w:tcW w:w="1375" w:type="pct"/>
          </w:tcPr>
          <w:p w14:paraId="4E620357">
            <w:pPr>
              <w:adjustRightInd w:val="0"/>
              <w:snapToGrid w:val="0"/>
              <w:spacing w:line="360" w:lineRule="exact"/>
              <w:rPr>
                <w:color w:val="auto"/>
                <w:kern w:val="0"/>
                <w:sz w:val="22"/>
                <w:highlight w:val="none"/>
              </w:rPr>
            </w:pPr>
          </w:p>
        </w:tc>
        <w:tc>
          <w:tcPr>
            <w:tcW w:w="890" w:type="pct"/>
          </w:tcPr>
          <w:p w14:paraId="2CE16965">
            <w:pPr>
              <w:adjustRightInd w:val="0"/>
              <w:snapToGrid w:val="0"/>
              <w:spacing w:line="360" w:lineRule="exact"/>
              <w:rPr>
                <w:color w:val="auto"/>
                <w:kern w:val="0"/>
                <w:sz w:val="22"/>
                <w:highlight w:val="none"/>
              </w:rPr>
            </w:pPr>
          </w:p>
        </w:tc>
        <w:tc>
          <w:tcPr>
            <w:tcW w:w="485" w:type="pct"/>
          </w:tcPr>
          <w:p w14:paraId="4B0D821D">
            <w:pPr>
              <w:adjustRightInd w:val="0"/>
              <w:snapToGrid w:val="0"/>
              <w:spacing w:line="360" w:lineRule="exact"/>
              <w:rPr>
                <w:color w:val="auto"/>
                <w:kern w:val="0"/>
                <w:sz w:val="22"/>
                <w:highlight w:val="none"/>
              </w:rPr>
            </w:pPr>
          </w:p>
        </w:tc>
      </w:tr>
      <w:tr w14:paraId="27B0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14:paraId="5605003A">
            <w:pPr>
              <w:adjustRightInd w:val="0"/>
              <w:snapToGrid w:val="0"/>
              <w:spacing w:line="360" w:lineRule="exact"/>
              <w:jc w:val="center"/>
              <w:rPr>
                <w:color w:val="auto"/>
                <w:kern w:val="0"/>
                <w:sz w:val="22"/>
                <w:highlight w:val="none"/>
              </w:rPr>
            </w:pPr>
            <w:r>
              <w:rPr>
                <w:rFonts w:hint="eastAsia"/>
                <w:color w:val="auto"/>
                <w:kern w:val="0"/>
                <w:sz w:val="22"/>
                <w:highlight w:val="none"/>
              </w:rPr>
              <w:t>...</w:t>
            </w:r>
          </w:p>
        </w:tc>
        <w:tc>
          <w:tcPr>
            <w:tcW w:w="632" w:type="pct"/>
            <w:vAlign w:val="center"/>
          </w:tcPr>
          <w:p w14:paraId="385F16AA">
            <w:pPr>
              <w:adjustRightInd w:val="0"/>
              <w:snapToGrid w:val="0"/>
              <w:spacing w:line="360" w:lineRule="exact"/>
              <w:rPr>
                <w:color w:val="auto"/>
                <w:kern w:val="0"/>
                <w:sz w:val="22"/>
                <w:highlight w:val="none"/>
              </w:rPr>
            </w:pPr>
          </w:p>
        </w:tc>
        <w:tc>
          <w:tcPr>
            <w:tcW w:w="1214" w:type="pct"/>
          </w:tcPr>
          <w:p w14:paraId="143980D3">
            <w:pPr>
              <w:adjustRightInd w:val="0"/>
              <w:snapToGrid w:val="0"/>
              <w:spacing w:line="360" w:lineRule="exact"/>
              <w:rPr>
                <w:color w:val="auto"/>
                <w:kern w:val="0"/>
                <w:sz w:val="22"/>
                <w:highlight w:val="none"/>
              </w:rPr>
            </w:pPr>
          </w:p>
        </w:tc>
        <w:tc>
          <w:tcPr>
            <w:tcW w:w="1375" w:type="pct"/>
          </w:tcPr>
          <w:p w14:paraId="2408A287">
            <w:pPr>
              <w:adjustRightInd w:val="0"/>
              <w:snapToGrid w:val="0"/>
              <w:spacing w:line="360" w:lineRule="exact"/>
              <w:rPr>
                <w:color w:val="auto"/>
                <w:kern w:val="0"/>
                <w:sz w:val="22"/>
                <w:highlight w:val="none"/>
              </w:rPr>
            </w:pPr>
          </w:p>
        </w:tc>
        <w:tc>
          <w:tcPr>
            <w:tcW w:w="890" w:type="pct"/>
          </w:tcPr>
          <w:p w14:paraId="350E91F7">
            <w:pPr>
              <w:adjustRightInd w:val="0"/>
              <w:snapToGrid w:val="0"/>
              <w:spacing w:line="360" w:lineRule="exact"/>
              <w:rPr>
                <w:color w:val="auto"/>
                <w:kern w:val="0"/>
                <w:sz w:val="22"/>
                <w:highlight w:val="none"/>
              </w:rPr>
            </w:pPr>
          </w:p>
        </w:tc>
        <w:tc>
          <w:tcPr>
            <w:tcW w:w="485" w:type="pct"/>
          </w:tcPr>
          <w:p w14:paraId="41093C96">
            <w:pPr>
              <w:adjustRightInd w:val="0"/>
              <w:snapToGrid w:val="0"/>
              <w:spacing w:line="360" w:lineRule="exact"/>
              <w:rPr>
                <w:color w:val="auto"/>
                <w:kern w:val="0"/>
                <w:sz w:val="22"/>
                <w:highlight w:val="none"/>
              </w:rPr>
            </w:pPr>
          </w:p>
        </w:tc>
      </w:tr>
    </w:tbl>
    <w:p w14:paraId="580E6544">
      <w:pPr>
        <w:adjustRightInd w:val="0"/>
        <w:snapToGrid w:val="0"/>
        <w:spacing w:line="360" w:lineRule="exact"/>
        <w:rPr>
          <w:rFonts w:hint="eastAsia" w:cs="宋体"/>
          <w:bCs/>
          <w:color w:val="auto"/>
          <w:sz w:val="22"/>
          <w:highlight w:val="none"/>
        </w:rPr>
      </w:pPr>
      <w:r>
        <w:rPr>
          <w:rFonts w:hint="eastAsia" w:cs="宋体"/>
          <w:bCs/>
          <w:color w:val="auto"/>
          <w:sz w:val="22"/>
          <w:highlight w:val="none"/>
        </w:rPr>
        <w:t>备注：</w:t>
      </w:r>
    </w:p>
    <w:p w14:paraId="70C224F4">
      <w:pPr>
        <w:spacing w:line="360" w:lineRule="exact"/>
        <w:rPr>
          <w:color w:val="auto"/>
          <w:sz w:val="22"/>
          <w:highlight w:val="none"/>
        </w:rPr>
      </w:pPr>
      <w:r>
        <w:rPr>
          <w:color w:val="auto"/>
          <w:sz w:val="22"/>
          <w:highlight w:val="none"/>
        </w:rPr>
        <w:t>1.“</w:t>
      </w:r>
      <w:r>
        <w:rPr>
          <w:rFonts w:hint="eastAsia"/>
          <w:bCs/>
          <w:color w:val="auto"/>
          <w:sz w:val="22"/>
          <w:highlight w:val="none"/>
        </w:rPr>
        <w:t>招标</w:t>
      </w:r>
      <w:r>
        <w:rPr>
          <w:bCs/>
          <w:color w:val="auto"/>
          <w:sz w:val="22"/>
          <w:highlight w:val="none"/>
        </w:rPr>
        <w:t>商务</w:t>
      </w:r>
      <w:r>
        <w:rPr>
          <w:rFonts w:hint="eastAsia"/>
          <w:bCs/>
          <w:color w:val="auto"/>
          <w:sz w:val="22"/>
          <w:highlight w:val="none"/>
        </w:rPr>
        <w:t>要</w:t>
      </w:r>
      <w:r>
        <w:rPr>
          <w:bCs/>
          <w:color w:val="auto"/>
          <w:sz w:val="22"/>
          <w:highlight w:val="none"/>
        </w:rPr>
        <w:t>求</w:t>
      </w:r>
      <w:r>
        <w:rPr>
          <w:color w:val="auto"/>
          <w:sz w:val="22"/>
          <w:highlight w:val="none"/>
        </w:rPr>
        <w:t>”一栏必须填写采购文件第二章“商务</w:t>
      </w:r>
      <w:r>
        <w:rPr>
          <w:rFonts w:hint="eastAsia"/>
          <w:color w:val="auto"/>
          <w:sz w:val="22"/>
          <w:highlight w:val="none"/>
        </w:rPr>
        <w:t>要</w:t>
      </w:r>
      <w:r>
        <w:rPr>
          <w:color w:val="auto"/>
          <w:sz w:val="22"/>
          <w:highlight w:val="none"/>
        </w:rPr>
        <w:t>求”的内容分别对应的内容进行填写。</w:t>
      </w:r>
    </w:p>
    <w:p w14:paraId="4C68E7D6">
      <w:pPr>
        <w:spacing w:line="360" w:lineRule="exact"/>
        <w:rPr>
          <w:color w:val="auto"/>
          <w:sz w:val="22"/>
          <w:highlight w:val="none"/>
        </w:rPr>
      </w:pPr>
      <w:r>
        <w:rPr>
          <w:color w:val="auto"/>
          <w:sz w:val="22"/>
          <w:highlight w:val="none"/>
        </w:rPr>
        <w:t>2.“投标商务条款”一栏必须详细填写投标商务条款的内容。</w:t>
      </w:r>
    </w:p>
    <w:p w14:paraId="0F8CE781">
      <w:pPr>
        <w:spacing w:line="360" w:lineRule="exact"/>
        <w:rPr>
          <w:color w:val="auto"/>
          <w:sz w:val="22"/>
          <w:highlight w:val="none"/>
        </w:rPr>
      </w:pPr>
      <w:r>
        <w:rPr>
          <w:color w:val="auto"/>
          <w:sz w:val="22"/>
          <w:highlight w:val="none"/>
        </w:rPr>
        <w:t>3.“偏离情况”栏中应如实填写“正偏离”、“负偏离”或“无偏离”。</w:t>
      </w:r>
    </w:p>
    <w:p w14:paraId="6A860AAB">
      <w:pPr>
        <w:spacing w:line="360" w:lineRule="exact"/>
        <w:rPr>
          <w:color w:val="auto"/>
          <w:sz w:val="22"/>
          <w:highlight w:val="none"/>
        </w:rPr>
      </w:pPr>
      <w:r>
        <w:rPr>
          <w:color w:val="auto"/>
          <w:sz w:val="22"/>
          <w:highlight w:val="none"/>
        </w:rPr>
        <w:t>3.交货期条款为不可负偏离条款，投标文件响应为“负偏离”的，投标文件将按废标处理。</w:t>
      </w:r>
    </w:p>
    <w:p w14:paraId="191596AA">
      <w:pPr>
        <w:spacing w:line="360" w:lineRule="exact"/>
        <w:rPr>
          <w:color w:val="auto"/>
          <w:sz w:val="22"/>
          <w:highlight w:val="none"/>
        </w:rPr>
      </w:pPr>
      <w:r>
        <w:rPr>
          <w:color w:val="auto"/>
          <w:sz w:val="22"/>
          <w:highlight w:val="none"/>
        </w:rPr>
        <w:t>4.开标一览表中填写的“交货期”必须与本表填写的“交货期”一致。如填写不一致，以开标一览表填写的“交货期”为准。</w:t>
      </w:r>
    </w:p>
    <w:p w14:paraId="6D293130">
      <w:pPr>
        <w:rPr>
          <w:bCs/>
          <w:color w:val="auto"/>
          <w:sz w:val="22"/>
          <w:highlight w:val="none"/>
        </w:rPr>
      </w:pPr>
      <w:r>
        <w:rPr>
          <w:bCs/>
          <w:color w:val="auto"/>
          <w:sz w:val="22"/>
          <w:highlight w:val="none"/>
        </w:rPr>
        <w:br w:type="page"/>
      </w:r>
    </w:p>
    <w:p w14:paraId="1802740A">
      <w:pPr>
        <w:adjustRightInd w:val="0"/>
        <w:snapToGrid w:val="0"/>
        <w:spacing w:line="360" w:lineRule="exact"/>
        <w:rPr>
          <w:bCs/>
          <w:color w:val="auto"/>
          <w:sz w:val="22"/>
          <w:highlight w:val="none"/>
        </w:rPr>
      </w:pPr>
    </w:p>
    <w:p w14:paraId="32FC71E3">
      <w:pPr>
        <w:numPr>
          <w:ilvl w:val="0"/>
          <w:numId w:val="0"/>
        </w:numPr>
        <w:tabs>
          <w:tab w:val="left" w:pos="0"/>
        </w:tabs>
        <w:ind w:left="0" w:leftChars="0" w:firstLine="397" w:firstLineChars="0"/>
        <w:jc w:val="center"/>
        <w:outlineLvl w:val="2"/>
        <w:rPr>
          <w:bCs/>
          <w:color w:val="auto"/>
          <w:sz w:val="24"/>
          <w:highlight w:val="none"/>
        </w:rPr>
      </w:pPr>
      <w:r>
        <w:rPr>
          <w:rFonts w:hint="eastAsia" w:ascii="宋体" w:hAnsi="宋体" w:eastAsia="宋体" w:cs="宋体"/>
          <w:b/>
          <w:bCs/>
          <w:color w:val="auto"/>
          <w:kern w:val="2"/>
          <w:sz w:val="32"/>
          <w:szCs w:val="32"/>
          <w:highlight w:val="none"/>
          <w:lang w:val="en-US" w:eastAsia="zh-CN" w:bidi="ar-SA"/>
        </w:rPr>
        <w:t>十三、</w:t>
      </w:r>
      <w:r>
        <w:rPr>
          <w:rFonts w:hint="eastAsia"/>
          <w:b/>
          <w:bCs/>
          <w:color w:val="auto"/>
          <w:kern w:val="0"/>
          <w:sz w:val="32"/>
          <w:szCs w:val="32"/>
          <w:highlight w:val="none"/>
        </w:rPr>
        <w:t>技术</w:t>
      </w:r>
      <w:r>
        <w:rPr>
          <w:b/>
          <w:bCs/>
          <w:color w:val="auto"/>
          <w:sz w:val="32"/>
          <w:szCs w:val="32"/>
          <w:highlight w:val="none"/>
        </w:rPr>
        <w:t>规格偏离表</w:t>
      </w:r>
    </w:p>
    <w:p w14:paraId="05866373">
      <w:pPr>
        <w:adjustRightInd w:val="0"/>
        <w:snapToGrid w:val="0"/>
        <w:spacing w:line="360" w:lineRule="exact"/>
        <w:rPr>
          <w:bCs/>
          <w:color w:val="auto"/>
          <w:sz w:val="22"/>
          <w:highlight w:val="none"/>
        </w:rPr>
      </w:pPr>
      <w:r>
        <w:rPr>
          <w:bCs/>
          <w:color w:val="auto"/>
          <w:sz w:val="22"/>
          <w:highlight w:val="none"/>
        </w:rPr>
        <w:t xml:space="preserve">投标人名称：                               项目编号：                        </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117"/>
        <w:gridCol w:w="1559"/>
        <w:gridCol w:w="1984"/>
        <w:gridCol w:w="1701"/>
        <w:gridCol w:w="850"/>
      </w:tblGrid>
      <w:tr w14:paraId="4E10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Align w:val="center"/>
          </w:tcPr>
          <w:p w14:paraId="406A533C">
            <w:pPr>
              <w:adjustRightInd w:val="0"/>
              <w:snapToGrid w:val="0"/>
              <w:spacing w:line="360" w:lineRule="exact"/>
              <w:jc w:val="center"/>
              <w:rPr>
                <w:bCs/>
                <w:color w:val="auto"/>
                <w:sz w:val="22"/>
                <w:highlight w:val="none"/>
              </w:rPr>
            </w:pPr>
            <w:r>
              <w:rPr>
                <w:bCs/>
                <w:color w:val="auto"/>
                <w:sz w:val="22"/>
                <w:highlight w:val="none"/>
              </w:rPr>
              <w:t>序号</w:t>
            </w:r>
          </w:p>
        </w:tc>
        <w:tc>
          <w:tcPr>
            <w:tcW w:w="1117" w:type="dxa"/>
          </w:tcPr>
          <w:p w14:paraId="7FC8D20B">
            <w:pPr>
              <w:adjustRightInd w:val="0"/>
              <w:snapToGrid w:val="0"/>
              <w:spacing w:line="360" w:lineRule="exact"/>
              <w:jc w:val="center"/>
              <w:rPr>
                <w:bCs/>
                <w:color w:val="auto"/>
                <w:sz w:val="22"/>
                <w:highlight w:val="none"/>
              </w:rPr>
            </w:pPr>
            <w:r>
              <w:rPr>
                <w:bCs/>
                <w:color w:val="auto"/>
                <w:sz w:val="22"/>
                <w:highlight w:val="none"/>
              </w:rPr>
              <w:t>货物名称</w:t>
            </w:r>
          </w:p>
        </w:tc>
        <w:tc>
          <w:tcPr>
            <w:tcW w:w="1559" w:type="dxa"/>
          </w:tcPr>
          <w:p w14:paraId="010D661E">
            <w:pPr>
              <w:adjustRightInd w:val="0"/>
              <w:snapToGrid w:val="0"/>
              <w:spacing w:line="360" w:lineRule="exact"/>
              <w:jc w:val="center"/>
              <w:rPr>
                <w:bCs/>
                <w:color w:val="auto"/>
                <w:sz w:val="22"/>
                <w:highlight w:val="none"/>
              </w:rPr>
            </w:pPr>
            <w:r>
              <w:rPr>
                <w:bCs/>
                <w:color w:val="auto"/>
                <w:sz w:val="22"/>
                <w:highlight w:val="none"/>
              </w:rPr>
              <w:t>招标技术要求</w:t>
            </w:r>
          </w:p>
        </w:tc>
        <w:tc>
          <w:tcPr>
            <w:tcW w:w="1984" w:type="dxa"/>
          </w:tcPr>
          <w:p w14:paraId="2FA44C63">
            <w:pPr>
              <w:adjustRightInd w:val="0"/>
              <w:snapToGrid w:val="0"/>
              <w:spacing w:line="360" w:lineRule="exact"/>
              <w:jc w:val="center"/>
              <w:rPr>
                <w:bCs/>
                <w:color w:val="auto"/>
                <w:sz w:val="22"/>
                <w:highlight w:val="none"/>
              </w:rPr>
            </w:pPr>
            <w:r>
              <w:rPr>
                <w:bCs/>
                <w:color w:val="auto"/>
                <w:sz w:val="22"/>
                <w:highlight w:val="none"/>
              </w:rPr>
              <w:t>投标技术响应</w:t>
            </w:r>
          </w:p>
        </w:tc>
        <w:tc>
          <w:tcPr>
            <w:tcW w:w="1701" w:type="dxa"/>
            <w:vAlign w:val="center"/>
          </w:tcPr>
          <w:p w14:paraId="17584B34">
            <w:pPr>
              <w:adjustRightInd w:val="0"/>
              <w:snapToGrid w:val="0"/>
              <w:spacing w:line="360" w:lineRule="exact"/>
              <w:jc w:val="center"/>
              <w:rPr>
                <w:bCs/>
                <w:color w:val="auto"/>
                <w:sz w:val="22"/>
                <w:highlight w:val="none"/>
              </w:rPr>
            </w:pPr>
            <w:r>
              <w:rPr>
                <w:bCs/>
                <w:color w:val="auto"/>
                <w:sz w:val="22"/>
                <w:highlight w:val="none"/>
              </w:rPr>
              <w:t>偏离情况</w:t>
            </w:r>
          </w:p>
        </w:tc>
        <w:tc>
          <w:tcPr>
            <w:tcW w:w="850" w:type="dxa"/>
            <w:vAlign w:val="center"/>
          </w:tcPr>
          <w:p w14:paraId="689CB431">
            <w:pPr>
              <w:adjustRightInd w:val="0"/>
              <w:snapToGrid w:val="0"/>
              <w:spacing w:line="360" w:lineRule="exact"/>
              <w:jc w:val="center"/>
              <w:rPr>
                <w:bCs/>
                <w:color w:val="auto"/>
                <w:sz w:val="22"/>
                <w:highlight w:val="none"/>
              </w:rPr>
            </w:pPr>
            <w:r>
              <w:rPr>
                <w:bCs/>
                <w:color w:val="auto"/>
                <w:sz w:val="22"/>
                <w:highlight w:val="none"/>
              </w:rPr>
              <w:t>说明</w:t>
            </w:r>
          </w:p>
        </w:tc>
      </w:tr>
      <w:tr w14:paraId="4D68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Align w:val="center"/>
          </w:tcPr>
          <w:p w14:paraId="19C94114">
            <w:pPr>
              <w:adjustRightInd w:val="0"/>
              <w:snapToGrid w:val="0"/>
              <w:spacing w:line="360" w:lineRule="exact"/>
              <w:jc w:val="center"/>
              <w:rPr>
                <w:rFonts w:hint="eastAsia"/>
                <w:bCs/>
                <w:color w:val="auto"/>
                <w:sz w:val="22"/>
                <w:highlight w:val="none"/>
              </w:rPr>
            </w:pPr>
            <w:r>
              <w:rPr>
                <w:rFonts w:hint="eastAsia"/>
                <w:bCs/>
                <w:color w:val="auto"/>
                <w:sz w:val="22"/>
                <w:highlight w:val="none"/>
              </w:rPr>
              <w:t>1</w:t>
            </w:r>
          </w:p>
        </w:tc>
        <w:tc>
          <w:tcPr>
            <w:tcW w:w="1117" w:type="dxa"/>
          </w:tcPr>
          <w:p w14:paraId="72042A7A">
            <w:pPr>
              <w:adjustRightInd w:val="0"/>
              <w:snapToGrid w:val="0"/>
              <w:spacing w:line="360" w:lineRule="exact"/>
              <w:jc w:val="center"/>
              <w:rPr>
                <w:bCs/>
                <w:color w:val="auto"/>
                <w:sz w:val="22"/>
                <w:highlight w:val="none"/>
              </w:rPr>
            </w:pPr>
          </w:p>
        </w:tc>
        <w:tc>
          <w:tcPr>
            <w:tcW w:w="1559" w:type="dxa"/>
            <w:vAlign w:val="center"/>
          </w:tcPr>
          <w:p w14:paraId="71ED363D">
            <w:pPr>
              <w:adjustRightInd w:val="0"/>
              <w:snapToGrid w:val="0"/>
              <w:spacing w:line="360" w:lineRule="exact"/>
              <w:jc w:val="center"/>
              <w:rPr>
                <w:bCs/>
                <w:color w:val="auto"/>
                <w:sz w:val="22"/>
                <w:highlight w:val="none"/>
              </w:rPr>
            </w:pPr>
          </w:p>
        </w:tc>
        <w:tc>
          <w:tcPr>
            <w:tcW w:w="1984" w:type="dxa"/>
            <w:vAlign w:val="center"/>
          </w:tcPr>
          <w:p w14:paraId="4E03C4DB">
            <w:pPr>
              <w:adjustRightInd w:val="0"/>
              <w:snapToGrid w:val="0"/>
              <w:spacing w:line="360" w:lineRule="exact"/>
              <w:jc w:val="center"/>
              <w:rPr>
                <w:bCs/>
                <w:color w:val="auto"/>
                <w:sz w:val="22"/>
                <w:highlight w:val="none"/>
              </w:rPr>
            </w:pPr>
          </w:p>
        </w:tc>
        <w:tc>
          <w:tcPr>
            <w:tcW w:w="1701" w:type="dxa"/>
            <w:vAlign w:val="center"/>
          </w:tcPr>
          <w:p w14:paraId="046A792E">
            <w:pPr>
              <w:adjustRightInd w:val="0"/>
              <w:snapToGrid w:val="0"/>
              <w:spacing w:line="360" w:lineRule="exact"/>
              <w:jc w:val="center"/>
              <w:rPr>
                <w:bCs/>
                <w:color w:val="auto"/>
                <w:sz w:val="22"/>
                <w:highlight w:val="none"/>
              </w:rPr>
            </w:pPr>
          </w:p>
        </w:tc>
        <w:tc>
          <w:tcPr>
            <w:tcW w:w="850" w:type="dxa"/>
            <w:vAlign w:val="center"/>
          </w:tcPr>
          <w:p w14:paraId="79BD40BE">
            <w:pPr>
              <w:adjustRightInd w:val="0"/>
              <w:snapToGrid w:val="0"/>
              <w:spacing w:line="360" w:lineRule="exact"/>
              <w:jc w:val="center"/>
              <w:rPr>
                <w:bCs/>
                <w:color w:val="auto"/>
                <w:sz w:val="22"/>
                <w:highlight w:val="none"/>
              </w:rPr>
            </w:pPr>
          </w:p>
        </w:tc>
      </w:tr>
      <w:tr w14:paraId="5C29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Align w:val="center"/>
          </w:tcPr>
          <w:p w14:paraId="354F8FE4">
            <w:pPr>
              <w:adjustRightInd w:val="0"/>
              <w:snapToGrid w:val="0"/>
              <w:spacing w:line="360" w:lineRule="exact"/>
              <w:jc w:val="center"/>
              <w:rPr>
                <w:bCs/>
                <w:color w:val="auto"/>
                <w:sz w:val="22"/>
                <w:highlight w:val="none"/>
              </w:rPr>
            </w:pPr>
            <w:r>
              <w:rPr>
                <w:rFonts w:hint="eastAsia"/>
                <w:bCs/>
                <w:color w:val="auto"/>
                <w:sz w:val="22"/>
                <w:highlight w:val="none"/>
              </w:rPr>
              <w:t>...</w:t>
            </w:r>
          </w:p>
        </w:tc>
        <w:tc>
          <w:tcPr>
            <w:tcW w:w="1117" w:type="dxa"/>
          </w:tcPr>
          <w:p w14:paraId="17B45DBA">
            <w:pPr>
              <w:adjustRightInd w:val="0"/>
              <w:snapToGrid w:val="0"/>
              <w:spacing w:line="360" w:lineRule="exact"/>
              <w:jc w:val="center"/>
              <w:rPr>
                <w:bCs/>
                <w:color w:val="auto"/>
                <w:sz w:val="22"/>
                <w:highlight w:val="none"/>
              </w:rPr>
            </w:pPr>
          </w:p>
        </w:tc>
        <w:tc>
          <w:tcPr>
            <w:tcW w:w="1559" w:type="dxa"/>
            <w:vAlign w:val="center"/>
          </w:tcPr>
          <w:p w14:paraId="7C79215D">
            <w:pPr>
              <w:adjustRightInd w:val="0"/>
              <w:snapToGrid w:val="0"/>
              <w:spacing w:line="360" w:lineRule="exact"/>
              <w:jc w:val="center"/>
              <w:rPr>
                <w:bCs/>
                <w:color w:val="auto"/>
                <w:sz w:val="22"/>
                <w:highlight w:val="none"/>
              </w:rPr>
            </w:pPr>
          </w:p>
        </w:tc>
        <w:tc>
          <w:tcPr>
            <w:tcW w:w="1984" w:type="dxa"/>
            <w:vAlign w:val="center"/>
          </w:tcPr>
          <w:p w14:paraId="48148CF0">
            <w:pPr>
              <w:adjustRightInd w:val="0"/>
              <w:snapToGrid w:val="0"/>
              <w:spacing w:line="360" w:lineRule="exact"/>
              <w:jc w:val="center"/>
              <w:rPr>
                <w:bCs/>
                <w:color w:val="auto"/>
                <w:sz w:val="22"/>
                <w:highlight w:val="none"/>
              </w:rPr>
            </w:pPr>
          </w:p>
        </w:tc>
        <w:tc>
          <w:tcPr>
            <w:tcW w:w="1701" w:type="dxa"/>
            <w:vAlign w:val="center"/>
          </w:tcPr>
          <w:p w14:paraId="02857E85">
            <w:pPr>
              <w:adjustRightInd w:val="0"/>
              <w:snapToGrid w:val="0"/>
              <w:spacing w:line="360" w:lineRule="exact"/>
              <w:jc w:val="center"/>
              <w:rPr>
                <w:bCs/>
                <w:color w:val="auto"/>
                <w:sz w:val="22"/>
                <w:highlight w:val="none"/>
              </w:rPr>
            </w:pPr>
          </w:p>
        </w:tc>
        <w:tc>
          <w:tcPr>
            <w:tcW w:w="850" w:type="dxa"/>
            <w:vAlign w:val="center"/>
          </w:tcPr>
          <w:p w14:paraId="1D3B95BE">
            <w:pPr>
              <w:adjustRightInd w:val="0"/>
              <w:snapToGrid w:val="0"/>
              <w:spacing w:line="360" w:lineRule="exact"/>
              <w:jc w:val="center"/>
              <w:rPr>
                <w:bCs/>
                <w:color w:val="auto"/>
                <w:sz w:val="22"/>
                <w:highlight w:val="none"/>
              </w:rPr>
            </w:pPr>
          </w:p>
        </w:tc>
      </w:tr>
    </w:tbl>
    <w:p w14:paraId="51EB7542">
      <w:pPr>
        <w:adjustRightInd w:val="0"/>
        <w:snapToGrid w:val="0"/>
        <w:spacing w:line="360" w:lineRule="exact"/>
        <w:rPr>
          <w:bCs/>
          <w:color w:val="auto"/>
          <w:sz w:val="22"/>
          <w:highlight w:val="none"/>
        </w:rPr>
      </w:pPr>
      <w:r>
        <w:rPr>
          <w:bCs/>
          <w:color w:val="auto"/>
          <w:sz w:val="22"/>
          <w:highlight w:val="none"/>
        </w:rPr>
        <w:t>备注：</w:t>
      </w:r>
    </w:p>
    <w:p w14:paraId="1E0660D4">
      <w:pPr>
        <w:spacing w:line="360" w:lineRule="exact"/>
        <w:rPr>
          <w:color w:val="auto"/>
          <w:highlight w:val="none"/>
        </w:rPr>
      </w:pPr>
      <w:r>
        <w:rPr>
          <w:color w:val="auto"/>
          <w:highlight w:val="none"/>
        </w:rPr>
        <w:t>1、“招标技术要求”一栏应填写采购文件第二章“具体技术要求”的内容；</w:t>
      </w:r>
    </w:p>
    <w:p w14:paraId="700551A9">
      <w:pPr>
        <w:spacing w:line="360" w:lineRule="exact"/>
        <w:rPr>
          <w:color w:val="auto"/>
          <w:highlight w:val="none"/>
        </w:rPr>
      </w:pPr>
      <w:r>
        <w:rPr>
          <w:color w:val="auto"/>
          <w:highlight w:val="none"/>
        </w:rPr>
        <w:t>2、“投标技术响应”一栏必须详细填写投标产品的具体参数，并应对照招标技术要求一一对应响应；</w:t>
      </w:r>
    </w:p>
    <w:p w14:paraId="639DABD7">
      <w:pPr>
        <w:spacing w:line="360" w:lineRule="exact"/>
        <w:rPr>
          <w:color w:val="auto"/>
          <w:highlight w:val="none"/>
        </w:rPr>
      </w:pPr>
      <w:r>
        <w:rPr>
          <w:color w:val="auto"/>
          <w:highlight w:val="none"/>
        </w:rPr>
        <w:t>3、“偏离情况”一栏应如实填写“正偏离”、“负偏离”或“无偏离”。</w:t>
      </w:r>
    </w:p>
    <w:p w14:paraId="2DDD08A1">
      <w:pPr>
        <w:spacing w:line="360" w:lineRule="exact"/>
        <w:rPr>
          <w:color w:val="auto"/>
          <w:highlight w:val="none"/>
        </w:rPr>
      </w:pPr>
      <w:r>
        <w:rPr>
          <w:color w:val="auto"/>
          <w:highlight w:val="none"/>
        </w:rPr>
        <w:t>4、投标产品的技术参数应</w:t>
      </w:r>
      <w:r>
        <w:rPr>
          <w:rFonts w:hint="eastAsia"/>
          <w:color w:val="auto"/>
          <w:highlight w:val="none"/>
        </w:rPr>
        <w:t>按照技术要求</w:t>
      </w:r>
      <w:r>
        <w:rPr>
          <w:color w:val="auto"/>
          <w:highlight w:val="none"/>
        </w:rPr>
        <w:t>提供相应的证明资料，投标人应在“说明”一栏中列出技术参数的证明资料名称，并指明该证明资料在投标文件中的具体位置。</w:t>
      </w:r>
    </w:p>
    <w:p w14:paraId="08974186">
      <w:pPr>
        <w:adjustRightInd w:val="0"/>
        <w:snapToGrid w:val="0"/>
        <w:spacing w:line="360" w:lineRule="exact"/>
        <w:rPr>
          <w:color w:val="auto"/>
          <w:highlight w:val="none"/>
        </w:rPr>
      </w:pPr>
      <w:r>
        <w:rPr>
          <w:rFonts w:hint="eastAsia"/>
          <w:color w:val="auto"/>
          <w:highlight w:val="none"/>
        </w:rPr>
        <w:t>5</w:t>
      </w:r>
      <w:r>
        <w:rPr>
          <w:color w:val="auto"/>
          <w:highlight w:val="none"/>
        </w:rPr>
        <w:t>、评审委员会有权对以谋取中标为目的的技术规格模糊响应或虚假响应予以认定，并视情况经政府采购代理机构报市政府采购监督管理部门</w:t>
      </w:r>
      <w:r>
        <w:rPr>
          <w:rFonts w:hint="eastAsia"/>
          <w:color w:val="auto"/>
          <w:highlight w:val="none"/>
        </w:rPr>
        <w:t>处理</w:t>
      </w:r>
      <w:r>
        <w:rPr>
          <w:color w:val="auto"/>
          <w:highlight w:val="none"/>
        </w:rPr>
        <w:t>。</w:t>
      </w:r>
    </w:p>
    <w:p w14:paraId="02FD5C28">
      <w:pPr>
        <w:rPr>
          <w:color w:val="auto"/>
          <w:highlight w:val="none"/>
        </w:rPr>
      </w:pPr>
      <w:r>
        <w:rPr>
          <w:color w:val="auto"/>
          <w:highlight w:val="none"/>
        </w:rPr>
        <w:br w:type="page"/>
      </w:r>
    </w:p>
    <w:p w14:paraId="4A921222">
      <w:pPr>
        <w:adjustRightInd w:val="0"/>
        <w:snapToGrid w:val="0"/>
        <w:spacing w:line="360" w:lineRule="exact"/>
        <w:rPr>
          <w:color w:val="auto"/>
          <w:highlight w:val="none"/>
        </w:rPr>
      </w:pPr>
    </w:p>
    <w:p w14:paraId="0568BD5C">
      <w:pPr>
        <w:numPr>
          <w:ilvl w:val="0"/>
          <w:numId w:val="0"/>
        </w:numPr>
        <w:tabs>
          <w:tab w:val="left" w:pos="0"/>
        </w:tabs>
        <w:ind w:left="0" w:leftChars="0" w:firstLine="397" w:firstLineChars="0"/>
        <w:jc w:val="center"/>
        <w:outlineLvl w:val="2"/>
        <w:rPr>
          <w:color w:val="auto"/>
          <w:highlight w:val="none"/>
        </w:rPr>
      </w:pPr>
      <w:r>
        <w:rPr>
          <w:rFonts w:hint="eastAsia" w:ascii="宋体" w:hAnsi="宋体" w:eastAsia="宋体" w:cs="宋体"/>
          <w:b/>
          <w:color w:val="auto"/>
          <w:kern w:val="2"/>
          <w:sz w:val="32"/>
          <w:szCs w:val="32"/>
          <w:highlight w:val="none"/>
          <w:lang w:val="en-US" w:eastAsia="zh-CN" w:bidi="ar-SA"/>
        </w:rPr>
        <w:t>十四、</w:t>
      </w:r>
      <w:r>
        <w:rPr>
          <w:b/>
          <w:bCs/>
          <w:color w:val="auto"/>
          <w:sz w:val="32"/>
          <w:szCs w:val="32"/>
          <w:highlight w:val="none"/>
        </w:rPr>
        <w:t>中小企业、残疾人福利性单位和监狱企业政策导向</w:t>
      </w:r>
    </w:p>
    <w:p w14:paraId="7177AB91">
      <w:pPr>
        <w:jc w:val="center"/>
        <w:rPr>
          <w:color w:val="auto"/>
          <w:highlight w:val="none"/>
        </w:rPr>
      </w:pPr>
      <w:r>
        <w:rPr>
          <w:color w:val="auto"/>
          <w:highlight w:val="none"/>
        </w:rPr>
        <w:t>（如符合则提供）</w:t>
      </w:r>
    </w:p>
    <w:p w14:paraId="324DF104">
      <w:pPr>
        <w:spacing w:line="36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填写指引：</w:t>
      </w:r>
    </w:p>
    <w:p w14:paraId="5CE42166">
      <w:pPr>
        <w:spacing w:line="36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1、该部分内容由供应商根据自身实际情况填写，不符合要求的供应商可以不填写或直接删除相应的声明函。供应商自行对声明内容的真实性负责；如提供虚假声明，将报送主管部门进行行政处罚。若无法确定是否为中小微企业，可查阅《关于印发中小企业划型标准规定的通知》（工信部联企业【2011】300号）或向深圳市中小企业服务局咨询。</w:t>
      </w:r>
    </w:p>
    <w:p w14:paraId="756D6881">
      <w:pPr>
        <w:spacing w:line="36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2、该部分内容填写需要参考的相关文件：（1）《深圳市财政局关于落实有关政府采购优惠政策的意见》（深财购函【2019】868号）；(2)财政部《政府采购促进中小企业发展管理办法》；(3) 《工业和信息化部、国家统计局、国家发展和改革委员会、财政部关于印发中小企业划型标准规定的通知》（工信部联企业〔2011〕300 号）。</w:t>
      </w:r>
    </w:p>
    <w:p w14:paraId="060E995A">
      <w:pPr>
        <w:spacing w:line="36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3、请依照提供的格式和内容填写声明函，不要随意变更格式或增删内容；满足多项优惠政策的企业，不重复享受多项价格扣除政策。</w:t>
      </w:r>
    </w:p>
    <w:p w14:paraId="76703229">
      <w:pPr>
        <w:spacing w:line="36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4、声明函具体填写要求：</w:t>
      </w:r>
    </w:p>
    <w:p w14:paraId="3959A8F7">
      <w:pPr>
        <w:spacing w:line="360" w:lineRule="auto"/>
        <w:ind w:firstLine="442" w:firstLineChars="200"/>
        <w:rPr>
          <w:rFonts w:hint="eastAsia" w:ascii="宋体" w:hAnsi="宋体" w:cs="宋体"/>
          <w:b/>
          <w:color w:val="auto"/>
          <w:sz w:val="22"/>
          <w:highlight w:val="none"/>
        </w:rPr>
      </w:pPr>
      <w:r>
        <w:rPr>
          <w:rFonts w:hint="eastAsia" w:ascii="宋体" w:hAnsi="宋体" w:cs="宋体"/>
          <w:b/>
          <w:color w:val="auto"/>
          <w:sz w:val="22"/>
          <w:highlight w:val="none"/>
        </w:rPr>
        <w:t>（1）声明是中小企业须填写《中小企业声明函》的以下内容：</w:t>
      </w:r>
    </w:p>
    <w:p w14:paraId="6E4A28FD">
      <w:pPr>
        <w:spacing w:line="360" w:lineRule="auto"/>
        <w:ind w:firstLine="442" w:firstLineChars="200"/>
        <w:rPr>
          <w:rFonts w:hint="eastAsia" w:ascii="宋体" w:hAnsi="宋体" w:cs="宋体"/>
          <w:b/>
          <w:color w:val="auto"/>
          <w:sz w:val="22"/>
          <w:highlight w:val="none"/>
        </w:rPr>
      </w:pPr>
      <w:r>
        <w:rPr>
          <w:rFonts w:hint="eastAsia" w:ascii="宋体" w:hAnsi="宋体" w:cs="宋体"/>
          <w:b/>
          <w:color w:val="auto"/>
          <w:sz w:val="22"/>
          <w:highlight w:val="none"/>
        </w:rPr>
        <w:t>在“采购单位名称”下划线处填写本项目的实际采购单位名称（深圳东海国际招标有限公司不是本项目的采购单位，而是本项目的组织实施机构）；</w:t>
      </w:r>
    </w:p>
    <w:p w14:paraId="30CEE684">
      <w:pPr>
        <w:spacing w:line="360" w:lineRule="auto"/>
        <w:ind w:firstLine="442" w:firstLineChars="200"/>
        <w:rPr>
          <w:rFonts w:hint="eastAsia" w:ascii="宋体" w:hAnsi="宋体" w:cs="宋体"/>
          <w:b/>
          <w:color w:val="auto"/>
          <w:sz w:val="22"/>
          <w:highlight w:val="none"/>
        </w:rPr>
      </w:pPr>
      <w:r>
        <w:rPr>
          <w:rFonts w:hint="eastAsia" w:ascii="宋体" w:hAnsi="宋体" w:cs="宋体"/>
          <w:b/>
          <w:color w:val="auto"/>
          <w:sz w:val="22"/>
          <w:highlight w:val="none"/>
        </w:rPr>
        <w:t>在“采购项目名称”下划线处填写本项目的实际项目名称（项目名称可在招标公告处查看）；</w:t>
      </w:r>
    </w:p>
    <w:p w14:paraId="716964DC">
      <w:pPr>
        <w:spacing w:line="360" w:lineRule="auto"/>
        <w:ind w:firstLine="442" w:firstLineChars="200"/>
        <w:rPr>
          <w:b/>
          <w:color w:val="auto"/>
          <w:sz w:val="22"/>
          <w:highlight w:val="none"/>
        </w:rPr>
      </w:pPr>
      <w:r>
        <w:rPr>
          <w:rFonts w:hint="eastAsia" w:ascii="宋体" w:hAnsi="宋体"/>
          <w:b/>
          <w:color w:val="auto"/>
          <w:sz w:val="22"/>
          <w:highlight w:val="none"/>
        </w:rPr>
        <w:t>在“标的名称”下划线处填写招标文件中采购需求中相对应的名称；</w:t>
      </w:r>
    </w:p>
    <w:p w14:paraId="33C13945">
      <w:pPr>
        <w:spacing w:line="360" w:lineRule="auto"/>
        <w:ind w:firstLine="442" w:firstLineChars="200"/>
        <w:rPr>
          <w:b/>
          <w:color w:val="auto"/>
          <w:sz w:val="22"/>
          <w:highlight w:val="none"/>
        </w:rPr>
      </w:pPr>
      <w:r>
        <w:rPr>
          <w:rFonts w:hint="eastAsia" w:ascii="宋体" w:hAnsi="宋体"/>
          <w:b/>
          <w:color w:val="auto"/>
          <w:sz w:val="22"/>
          <w:highlight w:val="none"/>
        </w:rPr>
        <w:t>在“采购文件中明确的所属行业”中填写对应的行业类别；</w:t>
      </w:r>
    </w:p>
    <w:p w14:paraId="404D7264">
      <w:pPr>
        <w:ind w:firstLine="422" w:firstLineChars="200"/>
        <w:rPr>
          <w:rFonts w:hint="eastAsia" w:ascii="宋体" w:hAnsi="宋体"/>
          <w:b/>
          <w:color w:val="auto"/>
          <w:highlight w:val="none"/>
        </w:rPr>
      </w:pPr>
      <w:r>
        <w:rPr>
          <w:rFonts w:hint="eastAsia" w:ascii="宋体" w:hAnsi="宋体"/>
          <w:b/>
          <w:color w:val="auto"/>
          <w:highlight w:val="none"/>
        </w:rPr>
        <w:t>在“企业名称”中填写所提供货物的制造商的企业名称，并如实填写该企业需要填报的其他情况。</w:t>
      </w:r>
    </w:p>
    <w:p w14:paraId="0ACEBCC7">
      <w:pPr>
        <w:ind w:firstLine="442" w:firstLineChars="200"/>
        <w:rPr>
          <w:rFonts w:hint="eastAsia" w:ascii="宋体" w:hAnsi="宋体" w:cs="宋体"/>
          <w:b/>
          <w:color w:val="auto"/>
          <w:sz w:val="22"/>
          <w:highlight w:val="none"/>
        </w:rPr>
      </w:pPr>
      <w:r>
        <w:rPr>
          <w:rFonts w:hint="eastAsia" w:ascii="宋体" w:hAnsi="宋体" w:cs="宋体"/>
          <w:b/>
          <w:color w:val="auto"/>
          <w:sz w:val="22"/>
          <w:highlight w:val="none"/>
        </w:rPr>
        <w:t xml:space="preserve">    在“中型企业、小型企业、微型企业”下划线处根据自身实际情况在三个选项中填写符合相关政策要求的一个；</w:t>
      </w:r>
    </w:p>
    <w:p w14:paraId="6C7E6078">
      <w:pPr>
        <w:ind w:firstLine="442" w:firstLineChars="200"/>
        <w:rPr>
          <w:rFonts w:hint="eastAsia" w:ascii="宋体" w:hAnsi="宋体" w:cs="宋体"/>
          <w:bCs/>
          <w:color w:val="auto"/>
          <w:sz w:val="22"/>
          <w:highlight w:val="none"/>
        </w:rPr>
      </w:pPr>
      <w:r>
        <w:rPr>
          <w:rFonts w:hint="eastAsia" w:ascii="宋体" w:hAnsi="宋体" w:cs="宋体"/>
          <w:b/>
          <w:color w:val="auto"/>
          <w:sz w:val="22"/>
          <w:highlight w:val="none"/>
        </w:rPr>
        <w:t xml:space="preserve">   </w:t>
      </w:r>
      <w:r>
        <w:rPr>
          <w:rFonts w:hint="eastAsia" w:ascii="宋体" w:hAnsi="宋体" w:cs="宋体"/>
          <w:bCs/>
          <w:color w:val="auto"/>
          <w:sz w:val="22"/>
          <w:highlight w:val="none"/>
        </w:rPr>
        <w:t>（2）声明是残疾人福利性单位须填写《残疾人福利性单位声明函》的三项内容（填写位置的字体已加粗），具体参照以上《中小企业声明函》填写要求执行。</w:t>
      </w:r>
    </w:p>
    <w:p w14:paraId="121B908C">
      <w:pPr>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（3）声明是监狱企业须填写《监狱企业声明函》的三项内容（填写位置的字体已加粗），具体参照以上《中小企业声明函》填写要求执行。</w:t>
      </w:r>
    </w:p>
    <w:p w14:paraId="0ABE4E8B">
      <w:pPr>
        <w:spacing w:line="360" w:lineRule="auto"/>
        <w:ind w:firstLine="440" w:firstLineChars="200"/>
        <w:rPr>
          <w:bCs/>
          <w:color w:val="auto"/>
          <w:highlight w:val="none"/>
        </w:rPr>
      </w:pPr>
      <w:r>
        <w:rPr>
          <w:rFonts w:hint="eastAsia" w:ascii="宋体" w:hAnsi="宋体" w:cs="宋体"/>
          <w:bCs/>
          <w:color w:val="auto"/>
          <w:sz w:val="22"/>
          <w:highlight w:val="none"/>
        </w:rPr>
        <w:t>5、声明函的有效性最终由评审委员会判定。</w:t>
      </w:r>
    </w:p>
    <w:p w14:paraId="4218DE78">
      <w:pPr>
        <w:rPr>
          <w:color w:val="auto"/>
          <w:highlight w:val="none"/>
        </w:rPr>
      </w:pPr>
    </w:p>
    <w:p w14:paraId="0E460D75">
      <w:pPr>
        <w:adjustRightInd w:val="0"/>
        <w:snapToGrid w:val="0"/>
        <w:spacing w:line="360" w:lineRule="auto"/>
        <w:jc w:val="center"/>
        <w:rPr>
          <w:b/>
          <w:color w:val="auto"/>
          <w:szCs w:val="21"/>
          <w:highlight w:val="none"/>
        </w:rPr>
      </w:pPr>
    </w:p>
    <w:p w14:paraId="2E2CF465">
      <w:pPr>
        <w:adjustRightInd w:val="0"/>
        <w:snapToGrid w:val="0"/>
        <w:spacing w:line="360" w:lineRule="auto"/>
        <w:jc w:val="center"/>
        <w:rPr>
          <w:b/>
          <w:color w:val="auto"/>
          <w:szCs w:val="21"/>
          <w:highlight w:val="none"/>
        </w:rPr>
      </w:pPr>
      <w:r>
        <w:rPr>
          <w:b/>
          <w:color w:val="auto"/>
          <w:szCs w:val="21"/>
          <w:highlight w:val="none"/>
        </w:rPr>
        <w:t>（一）中小企</w:t>
      </w:r>
      <w:r>
        <w:rPr>
          <w:b/>
          <w:bCs/>
          <w:color w:val="auto"/>
          <w:szCs w:val="21"/>
          <w:highlight w:val="none"/>
        </w:rPr>
        <w:t>业声明函</w:t>
      </w:r>
    </w:p>
    <w:p w14:paraId="0BFA423D">
      <w:pPr>
        <w:ind w:firstLine="440" w:firstLineChars="200"/>
        <w:rPr>
          <w:rFonts w:hint="eastAsia" w:ascii="宋体" w:hAnsi="宋体" w:cs="宋体"/>
          <w:color w:val="auto"/>
          <w:sz w:val="22"/>
          <w:highlight w:val="none"/>
        </w:rPr>
      </w:pPr>
      <w:r>
        <w:rPr>
          <w:rFonts w:hint="eastAsia" w:ascii="宋体" w:hAnsi="宋体" w:cs="宋体"/>
          <w:color w:val="auto"/>
          <w:sz w:val="22"/>
          <w:highlight w:val="none"/>
        </w:rPr>
        <w:t>本公司（联合体）郑重声明，根据《政府采购促进中小企业发展管理办法》（财库〔2020〕46号）的规定，本公司（联合体）参加</w:t>
      </w:r>
      <w:r>
        <w:rPr>
          <w:rFonts w:hint="eastAsia" w:ascii="宋体" w:hAnsi="宋体" w:cs="宋体"/>
          <w:color w:val="auto"/>
          <w:sz w:val="22"/>
          <w:highlight w:val="none"/>
          <w:u w:val="single"/>
        </w:rPr>
        <w:t xml:space="preserve"> </w:t>
      </w:r>
      <w:r>
        <w:rPr>
          <w:rFonts w:hint="eastAsia" w:ascii="宋体" w:hAnsi="宋体" w:cs="宋体"/>
          <w:b/>
          <w:bCs/>
          <w:color w:val="auto"/>
          <w:sz w:val="22"/>
          <w:highlight w:val="none"/>
          <w:u w:val="single"/>
        </w:rPr>
        <w:t xml:space="preserve"> （单位名称）</w:t>
      </w:r>
      <w:r>
        <w:rPr>
          <w:rFonts w:hint="eastAsia" w:ascii="宋体" w:hAnsi="宋体" w:cs="宋体"/>
          <w:color w:val="auto"/>
          <w:sz w:val="22"/>
          <w:highlight w:val="none"/>
        </w:rPr>
        <w:t xml:space="preserve">的 </w:t>
      </w:r>
      <w:r>
        <w:rPr>
          <w:rFonts w:hint="eastAsia" w:ascii="宋体" w:hAnsi="宋体" w:cs="宋体"/>
          <w:b/>
          <w:bCs/>
          <w:color w:val="auto"/>
          <w:sz w:val="22"/>
          <w:highlight w:val="none"/>
          <w:u w:val="single"/>
        </w:rPr>
        <w:t xml:space="preserve">（项目名称） </w:t>
      </w:r>
      <w:r>
        <w:rPr>
          <w:rFonts w:hint="eastAsia" w:ascii="宋体" w:hAnsi="宋体" w:cs="宋体"/>
          <w:color w:val="auto"/>
          <w:sz w:val="22"/>
          <w:highlight w:val="none"/>
        </w:rPr>
        <w:t>采购活动，提供的货物全部由符合政策要求的中小企业制造、相关企业（含联合体中的中小企业、签订分包意向协议的中小企业）的具体情况如下：</w:t>
      </w:r>
    </w:p>
    <w:p w14:paraId="527A58F2">
      <w:pPr>
        <w:ind w:firstLine="442" w:firstLineChars="200"/>
        <w:rPr>
          <w:rFonts w:hint="eastAsia" w:ascii="宋体" w:hAnsi="宋体" w:cs="宋体"/>
          <w:color w:val="auto"/>
          <w:sz w:val="22"/>
          <w:highlight w:val="none"/>
        </w:rPr>
      </w:pPr>
      <w:r>
        <w:rPr>
          <w:rFonts w:hint="eastAsia" w:ascii="宋体" w:hAnsi="宋体" w:cs="宋体"/>
          <w:b/>
          <w:bCs/>
          <w:color w:val="auto"/>
          <w:sz w:val="22"/>
          <w:highlight w:val="none"/>
          <w:u w:val="single"/>
        </w:rPr>
        <w:t>（标的名称）</w:t>
      </w:r>
      <w:r>
        <w:rPr>
          <w:rFonts w:hint="eastAsia" w:ascii="宋体" w:hAnsi="宋体" w:cs="宋体"/>
          <w:color w:val="auto"/>
          <w:sz w:val="22"/>
          <w:highlight w:val="none"/>
        </w:rPr>
        <w:t>，属于</w:t>
      </w:r>
      <w:r>
        <w:rPr>
          <w:rFonts w:hint="eastAsia" w:ascii="宋体" w:hAnsi="宋体" w:cs="宋体"/>
          <w:b/>
          <w:bCs/>
          <w:color w:val="auto"/>
          <w:sz w:val="22"/>
          <w:highlight w:val="none"/>
          <w:u w:val="single"/>
        </w:rPr>
        <w:t>（采购文件中明确的所属行业）</w:t>
      </w:r>
      <w:r>
        <w:rPr>
          <w:rFonts w:hint="eastAsia" w:ascii="宋体" w:hAnsi="宋体" w:cs="宋体"/>
          <w:color w:val="auto"/>
          <w:sz w:val="22"/>
          <w:highlight w:val="none"/>
        </w:rPr>
        <w:t>行业；制造商为</w:t>
      </w:r>
      <w:r>
        <w:rPr>
          <w:rFonts w:hint="eastAsia" w:ascii="宋体" w:hAnsi="宋体" w:cs="宋体"/>
          <w:b/>
          <w:bCs/>
          <w:color w:val="auto"/>
          <w:sz w:val="22"/>
          <w:highlight w:val="none"/>
          <w:u w:val="single"/>
        </w:rPr>
        <w:t>（企业名称）</w:t>
      </w:r>
      <w:r>
        <w:rPr>
          <w:rFonts w:hint="eastAsia" w:ascii="宋体" w:hAnsi="宋体" w:cs="宋体"/>
          <w:color w:val="auto"/>
          <w:sz w:val="22"/>
          <w:highlight w:val="none"/>
        </w:rPr>
        <w:t>，</w:t>
      </w:r>
      <w:r>
        <w:rPr>
          <w:rFonts w:hint="eastAsia" w:ascii="宋体" w:hAnsi="宋体" w:cs="宋体"/>
          <w:b/>
          <w:bCs/>
          <w:color w:val="auto"/>
          <w:sz w:val="22"/>
          <w:highlight w:val="none"/>
        </w:rPr>
        <w:t>从业人员</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人，营业收入为</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万元，资产总额为</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万元，属于</w:t>
      </w:r>
      <w:r>
        <w:rPr>
          <w:rFonts w:hint="eastAsia" w:ascii="宋体" w:hAnsi="宋体" w:cs="宋体"/>
          <w:b/>
          <w:bCs/>
          <w:color w:val="auto"/>
          <w:sz w:val="22"/>
          <w:highlight w:val="none"/>
          <w:u w:val="single"/>
        </w:rPr>
        <w:t>（中型企业、小型企业、微型企业）</w:t>
      </w:r>
      <w:r>
        <w:rPr>
          <w:rFonts w:hint="eastAsia" w:ascii="宋体" w:hAnsi="宋体" w:cs="宋体"/>
          <w:color w:val="auto"/>
          <w:sz w:val="22"/>
          <w:highlight w:val="none"/>
        </w:rPr>
        <w:t>；</w:t>
      </w:r>
    </w:p>
    <w:p w14:paraId="460DFC4D">
      <w:pPr>
        <w:ind w:firstLine="442" w:firstLineChars="200"/>
        <w:rPr>
          <w:rFonts w:hint="eastAsia" w:ascii="宋体" w:hAnsi="宋体" w:cs="宋体"/>
          <w:color w:val="auto"/>
          <w:sz w:val="22"/>
          <w:highlight w:val="none"/>
        </w:rPr>
      </w:pPr>
      <w:r>
        <w:rPr>
          <w:rFonts w:hint="eastAsia" w:ascii="宋体" w:hAnsi="宋体" w:cs="宋体"/>
          <w:b/>
          <w:bCs/>
          <w:color w:val="auto"/>
          <w:sz w:val="22"/>
          <w:highlight w:val="none"/>
          <w:u w:val="single"/>
        </w:rPr>
        <w:t>（标的名称）</w:t>
      </w:r>
      <w:r>
        <w:rPr>
          <w:rFonts w:hint="eastAsia" w:ascii="宋体" w:hAnsi="宋体" w:cs="宋体"/>
          <w:color w:val="auto"/>
          <w:sz w:val="22"/>
          <w:highlight w:val="none"/>
        </w:rPr>
        <w:t>，属于</w:t>
      </w:r>
      <w:r>
        <w:rPr>
          <w:rFonts w:hint="eastAsia" w:ascii="宋体" w:hAnsi="宋体" w:cs="宋体"/>
          <w:b/>
          <w:bCs/>
          <w:color w:val="auto"/>
          <w:sz w:val="22"/>
          <w:highlight w:val="none"/>
          <w:u w:val="single"/>
        </w:rPr>
        <w:t>（采购文件中明确的所属行业）</w:t>
      </w:r>
      <w:r>
        <w:rPr>
          <w:rFonts w:hint="eastAsia" w:ascii="宋体" w:hAnsi="宋体" w:cs="宋体"/>
          <w:color w:val="auto"/>
          <w:sz w:val="22"/>
          <w:highlight w:val="none"/>
        </w:rPr>
        <w:t>行业；制造商为</w:t>
      </w:r>
      <w:r>
        <w:rPr>
          <w:rFonts w:hint="eastAsia" w:ascii="宋体" w:hAnsi="宋体" w:cs="宋体"/>
          <w:b/>
          <w:bCs/>
          <w:color w:val="auto"/>
          <w:sz w:val="22"/>
          <w:highlight w:val="none"/>
          <w:u w:val="single"/>
        </w:rPr>
        <w:t>（企业名称）</w:t>
      </w:r>
      <w:r>
        <w:rPr>
          <w:rFonts w:hint="eastAsia" w:ascii="宋体" w:hAnsi="宋体" w:cs="宋体"/>
          <w:color w:val="auto"/>
          <w:sz w:val="22"/>
          <w:highlight w:val="none"/>
        </w:rPr>
        <w:t>，</w:t>
      </w:r>
      <w:r>
        <w:rPr>
          <w:rFonts w:hint="eastAsia" w:ascii="宋体" w:hAnsi="宋体" w:cs="宋体"/>
          <w:b/>
          <w:bCs/>
          <w:color w:val="auto"/>
          <w:sz w:val="22"/>
          <w:highlight w:val="none"/>
        </w:rPr>
        <w:t>从业人员</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人，营业收入为</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万元，资产总额为</w:t>
      </w:r>
      <w:r>
        <w:rPr>
          <w:rFonts w:hint="eastAsia" w:ascii="宋体" w:hAnsi="宋体" w:cs="宋体"/>
          <w:b/>
          <w:bCs/>
          <w:color w:val="auto"/>
          <w:sz w:val="22"/>
          <w:highlight w:val="none"/>
          <w:u w:val="single"/>
        </w:rPr>
        <w:t xml:space="preserve">    </w:t>
      </w:r>
      <w:r>
        <w:rPr>
          <w:rFonts w:hint="eastAsia" w:ascii="宋体" w:hAnsi="宋体" w:cs="宋体"/>
          <w:b/>
          <w:bCs/>
          <w:color w:val="auto"/>
          <w:sz w:val="22"/>
          <w:highlight w:val="none"/>
        </w:rPr>
        <w:t>万元，属于</w:t>
      </w:r>
      <w:r>
        <w:rPr>
          <w:rFonts w:hint="eastAsia" w:ascii="宋体" w:hAnsi="宋体" w:cs="宋体"/>
          <w:b/>
          <w:bCs/>
          <w:color w:val="auto"/>
          <w:sz w:val="22"/>
          <w:highlight w:val="none"/>
          <w:u w:val="single"/>
        </w:rPr>
        <w:t>（中型企业、小型企业、微型企业）</w:t>
      </w:r>
      <w:r>
        <w:rPr>
          <w:rFonts w:hint="eastAsia" w:ascii="宋体" w:hAnsi="宋体" w:cs="宋体"/>
          <w:color w:val="auto"/>
          <w:sz w:val="22"/>
          <w:highlight w:val="none"/>
        </w:rPr>
        <w:t>；</w:t>
      </w:r>
    </w:p>
    <w:p w14:paraId="11A08FBB">
      <w:pPr>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p>
    <w:p w14:paraId="57BC5A25">
      <w:pPr>
        <w:ind w:firstLine="440" w:firstLineChars="200"/>
        <w:rPr>
          <w:rFonts w:hint="eastAsia" w:ascii="宋体" w:hAnsi="宋体" w:cs="宋体"/>
          <w:color w:val="auto"/>
          <w:sz w:val="22"/>
          <w:highlight w:val="none"/>
        </w:rPr>
      </w:pPr>
      <w:r>
        <w:rPr>
          <w:rFonts w:hint="eastAsia" w:ascii="宋体" w:hAnsi="宋体" w:cs="宋体"/>
          <w:color w:val="auto"/>
          <w:sz w:val="22"/>
          <w:highlight w:val="none"/>
        </w:rPr>
        <w:t>以上企业，不属于大企业的分支机构，不存在控股股东为大企业的情形，也不存在与大企业的负责人为同一人的情形。</w:t>
      </w:r>
    </w:p>
    <w:p w14:paraId="2332161E">
      <w:pPr>
        <w:ind w:firstLine="440" w:firstLineChars="200"/>
        <w:rPr>
          <w:rFonts w:hint="eastAsia" w:ascii="宋体" w:hAnsi="宋体" w:cs="宋体"/>
          <w:color w:val="auto"/>
          <w:sz w:val="22"/>
          <w:highlight w:val="none"/>
        </w:rPr>
      </w:pPr>
      <w:r>
        <w:rPr>
          <w:rFonts w:hint="eastAsia" w:ascii="宋体" w:hAnsi="宋体" w:cs="宋体"/>
          <w:color w:val="auto"/>
          <w:sz w:val="22"/>
          <w:highlight w:val="none"/>
        </w:rPr>
        <w:t>本公司对上述声明的真实性负责。如有虚假，将依法承担相应责任。</w:t>
      </w:r>
    </w:p>
    <w:p w14:paraId="572F35F9">
      <w:pPr>
        <w:ind w:firstLine="440" w:firstLineChars="200"/>
        <w:rPr>
          <w:color w:val="auto"/>
          <w:sz w:val="22"/>
          <w:highlight w:val="none"/>
        </w:rPr>
      </w:pPr>
      <w:r>
        <w:rPr>
          <w:rFonts w:hint="eastAsia" w:ascii="宋体" w:hAnsi="宋体" w:cs="宋体"/>
          <w:color w:val="auto"/>
          <w:sz w:val="22"/>
          <w:highlight w:val="none"/>
        </w:rPr>
        <w:t>本公司知悉《政府采购促进中小企业发展管理办法》（财库〔2020〕 46 号）、《中小企业划型标准规定》（工信部联企〔2011〕 300 号）、《统计上大中小微型企业划分办法（2017）》等 规定，承诺提供的声明函内容是真实的，并知悉根据《政府 采购促进中小企业发展管理办法》（财库〔2020〕46 号）第二十条规定，本公司按照本办法规定提供声明函内容不实的，属于提供虚假材料谋取中标、成交，依照《政府采购法》等政府采购有关法律法规规定追究相应责任。</w:t>
      </w:r>
      <w:r>
        <w:rPr>
          <w:rFonts w:hint="eastAsia" w:ascii="宋体" w:hAnsi="宋体"/>
          <w:color w:val="auto"/>
          <w:highlight w:val="none"/>
        </w:rPr>
        <w:t xml:space="preserve">                     </w:t>
      </w:r>
    </w:p>
    <w:p w14:paraId="150313E2">
      <w:pPr>
        <w:ind w:firstLine="440" w:firstLineChars="200"/>
        <w:jc w:val="center"/>
        <w:rPr>
          <w:rFonts w:hint="eastAsia" w:ascii="宋体" w:hAnsi="宋体" w:cs="宋体"/>
          <w:color w:val="auto"/>
          <w:sz w:val="22"/>
          <w:highlight w:val="none"/>
          <w:u w:val="single"/>
        </w:rPr>
      </w:pPr>
      <w:r>
        <w:rPr>
          <w:rFonts w:hint="eastAsia" w:ascii="宋体" w:hAnsi="宋体" w:cs="宋体"/>
          <w:color w:val="auto"/>
          <w:sz w:val="22"/>
          <w:highlight w:val="none"/>
        </w:rPr>
        <w:t xml:space="preserve">                                 企业名称（盖章）：</w:t>
      </w:r>
      <w:r>
        <w:rPr>
          <w:rFonts w:hint="eastAsia" w:ascii="宋体" w:hAnsi="宋体" w:cs="宋体"/>
          <w:color w:val="auto"/>
          <w:sz w:val="22"/>
          <w:highlight w:val="none"/>
          <w:u w:val="single"/>
        </w:rPr>
        <w:t xml:space="preserve">          </w:t>
      </w:r>
    </w:p>
    <w:p w14:paraId="6E74611B">
      <w:pPr>
        <w:spacing w:line="360" w:lineRule="exact"/>
        <w:ind w:firstLine="4620" w:firstLineChars="2200"/>
        <w:jc w:val="left"/>
        <w:rPr>
          <w:color w:val="auto"/>
          <w:sz w:val="22"/>
          <w:highlight w:val="none"/>
          <w:u w:val="single"/>
        </w:rPr>
      </w:pPr>
      <w:r>
        <w:rPr>
          <w:rFonts w:hint="eastAsia" w:ascii="宋体" w:hAnsi="宋体"/>
          <w:color w:val="auto"/>
          <w:highlight w:val="none"/>
        </w:rPr>
        <w:t xml:space="preserve">                   日期：</w:t>
      </w:r>
      <w:r>
        <w:rPr>
          <w:rFonts w:hint="eastAsia"/>
          <w:color w:val="auto"/>
          <w:highlight w:val="none"/>
          <w:u w:val="single"/>
        </w:rPr>
        <w:t xml:space="preserve">               </w:t>
      </w:r>
    </w:p>
    <w:p w14:paraId="54BA9C98">
      <w:pPr>
        <w:rPr>
          <w:b/>
          <w:color w:val="auto"/>
          <w:spacing w:val="6"/>
          <w:sz w:val="22"/>
          <w:highlight w:val="none"/>
        </w:rPr>
      </w:pPr>
      <w:r>
        <w:rPr>
          <w:rFonts w:hint="eastAsia" w:ascii="宋体" w:hAnsi="宋体"/>
          <w:color w:val="auto"/>
          <w:highlight w:val="none"/>
        </w:rPr>
        <w:t>（从业人员、营业收入、资产总额上一年度数据，无上一年度数据的新成立企业可不填报）</w:t>
      </w:r>
    </w:p>
    <w:p w14:paraId="50122BDC">
      <w:pPr>
        <w:spacing w:line="360" w:lineRule="exact"/>
        <w:jc w:val="center"/>
        <w:rPr>
          <w:b/>
          <w:color w:val="auto"/>
          <w:spacing w:val="6"/>
          <w:sz w:val="22"/>
          <w:highlight w:val="none"/>
        </w:rPr>
      </w:pPr>
    </w:p>
    <w:p w14:paraId="7AF2C005">
      <w:pPr>
        <w:spacing w:line="360" w:lineRule="exact"/>
        <w:jc w:val="center"/>
        <w:rPr>
          <w:b/>
          <w:color w:val="auto"/>
          <w:spacing w:val="6"/>
          <w:sz w:val="22"/>
          <w:highlight w:val="none"/>
        </w:rPr>
      </w:pPr>
      <w:r>
        <w:rPr>
          <w:b/>
          <w:color w:val="auto"/>
          <w:spacing w:val="6"/>
          <w:sz w:val="22"/>
          <w:highlight w:val="none"/>
        </w:rPr>
        <w:t>（二）残疾人福利性单位声明函</w:t>
      </w:r>
    </w:p>
    <w:p w14:paraId="1CAA3F54">
      <w:pPr>
        <w:spacing w:line="360" w:lineRule="exact"/>
        <w:jc w:val="left"/>
        <w:rPr>
          <w:color w:val="auto"/>
          <w:spacing w:val="6"/>
          <w:sz w:val="22"/>
          <w:highlight w:val="none"/>
        </w:rPr>
      </w:pPr>
      <w:r>
        <w:rPr>
          <w:b/>
          <w:color w:val="auto"/>
          <w:spacing w:val="6"/>
          <w:sz w:val="22"/>
          <w:highlight w:val="none"/>
        </w:rPr>
        <w:t xml:space="preserve">    </w:t>
      </w:r>
      <w:r>
        <w:rPr>
          <w:color w:val="auto"/>
          <w:spacing w:val="6"/>
          <w:sz w:val="22"/>
          <w:highlight w:val="none"/>
        </w:rPr>
        <w:t>本单位郑重声明，根据《财政部 民政部 中国残疾人联合会关于促进残疾人就业政府采购政策的通知》（财库</w:t>
      </w:r>
      <w:r>
        <w:rPr>
          <w:color w:val="auto"/>
          <w:sz w:val="22"/>
          <w:highlight w:val="none"/>
        </w:rPr>
        <w:t>〔2017〕 141</w:t>
      </w:r>
      <w:r>
        <w:rPr>
          <w:color w:val="auto"/>
          <w:spacing w:val="6"/>
          <w:sz w:val="22"/>
          <w:highlight w:val="none"/>
        </w:rPr>
        <w:t>号）的规定，本单位为符合条件的残疾人福利性单位，</w:t>
      </w:r>
      <w:r>
        <w:rPr>
          <w:rFonts w:hint="eastAsia" w:ascii="宋体" w:hAnsi="宋体"/>
          <w:color w:val="auto"/>
          <w:szCs w:val="21"/>
          <w:highlight w:val="none"/>
        </w:rPr>
        <w:t>且本单位参加</w:t>
      </w:r>
      <w:r>
        <w:rPr>
          <w:rFonts w:hint="eastAsia" w:ascii="宋体" w:hAnsi="宋体"/>
          <w:b/>
          <w:color w:val="auto"/>
          <w:szCs w:val="21"/>
          <w:highlight w:val="none"/>
          <w:u w:val="single"/>
        </w:rPr>
        <w:t xml:space="preserve">   （采购单位名称）</w:t>
      </w:r>
      <w:r>
        <w:rPr>
          <w:rFonts w:ascii="宋体" w:hAnsi="宋体"/>
          <w:b/>
          <w:color w:val="auto"/>
          <w:szCs w:val="21"/>
          <w:highlight w:val="none"/>
          <w:u w:val="single"/>
        </w:rPr>
        <w:t>_</w:t>
      </w:r>
      <w:r>
        <w:rPr>
          <w:rFonts w:hint="eastAsia" w:ascii="宋体" w:hAnsi="宋体"/>
          <w:color w:val="auto"/>
          <w:szCs w:val="21"/>
          <w:highlight w:val="none"/>
        </w:rPr>
        <w:t>单位的</w:t>
      </w:r>
      <w:r>
        <w:rPr>
          <w:rFonts w:hint="eastAsia" w:ascii="宋体" w:hAnsi="宋体"/>
          <w:b/>
          <w:color w:val="auto"/>
          <w:szCs w:val="21"/>
          <w:highlight w:val="none"/>
          <w:u w:val="single"/>
        </w:rPr>
        <w:t>（采购项目名称）</w:t>
      </w:r>
      <w:r>
        <w:rPr>
          <w:rFonts w:hint="eastAsia" w:ascii="宋体" w:hAnsi="宋体"/>
          <w:color w:val="auto"/>
          <w:szCs w:val="21"/>
          <w:highlight w:val="none"/>
        </w:rPr>
        <w:t>项目采购活动，并提供</w:t>
      </w:r>
      <w:r>
        <w:rPr>
          <w:rFonts w:ascii="宋体" w:hAnsi="宋体"/>
          <w:color w:val="auto"/>
          <w:szCs w:val="21"/>
          <w:highlight w:val="none"/>
        </w:rPr>
        <w:t>:</w:t>
      </w:r>
      <w:r>
        <w:rPr>
          <w:rFonts w:hint="eastAsia" w:ascii="宋体" w:hAnsi="宋体"/>
          <w:b/>
          <w:color w:val="auto"/>
          <w:szCs w:val="21"/>
          <w:highlight w:val="none"/>
        </w:rPr>
        <w:t>□本单位制造的货物</w:t>
      </w:r>
      <w:r>
        <w:rPr>
          <w:rFonts w:ascii="宋体" w:hAnsi="宋体"/>
          <w:b/>
          <w:color w:val="auto"/>
          <w:szCs w:val="21"/>
          <w:highlight w:val="none"/>
        </w:rPr>
        <w:t>;</w:t>
      </w:r>
      <w:r>
        <w:rPr>
          <w:rFonts w:hint="eastAsia" w:ascii="宋体" w:hAnsi="宋体"/>
          <w:b/>
          <w:color w:val="auto"/>
          <w:szCs w:val="21"/>
          <w:highlight w:val="none"/>
        </w:rPr>
        <w:t>□提供其他残疾人福利性单位制造的货物（承诺人在□处打√）</w:t>
      </w:r>
      <w:r>
        <w:rPr>
          <w:color w:val="auto"/>
          <w:spacing w:val="6"/>
          <w:sz w:val="22"/>
          <w:highlight w:val="none"/>
        </w:rPr>
        <w:t>（不包括使用非残疾人福利性单位注册商标的货物）。</w:t>
      </w:r>
    </w:p>
    <w:p w14:paraId="7BEEDC38">
      <w:pPr>
        <w:spacing w:line="360" w:lineRule="exact"/>
        <w:ind w:firstLine="464" w:firstLineChars="200"/>
        <w:jc w:val="left"/>
        <w:rPr>
          <w:rFonts w:hint="eastAsia"/>
          <w:color w:val="auto"/>
          <w:spacing w:val="6"/>
          <w:sz w:val="22"/>
          <w:highlight w:val="none"/>
        </w:rPr>
      </w:pPr>
      <w:r>
        <w:rPr>
          <w:rFonts w:hint="eastAsia"/>
          <w:color w:val="auto"/>
          <w:spacing w:val="6"/>
          <w:sz w:val="22"/>
          <w:highlight w:val="none"/>
        </w:rPr>
        <w:t>本单位对上述声明的真实性负责。如有虚假，将依法承担相应责任。</w:t>
      </w:r>
    </w:p>
    <w:p w14:paraId="50EF516E">
      <w:pPr>
        <w:spacing w:line="360" w:lineRule="exact"/>
        <w:ind w:firstLine="464" w:firstLineChars="200"/>
        <w:jc w:val="left"/>
        <w:rPr>
          <w:color w:val="auto"/>
          <w:spacing w:val="6"/>
          <w:sz w:val="22"/>
          <w:highlight w:val="none"/>
        </w:rPr>
      </w:pPr>
      <w:r>
        <w:rPr>
          <w:rFonts w:hint="eastAsia"/>
          <w:color w:val="auto"/>
          <w:spacing w:val="6"/>
          <w:sz w:val="22"/>
          <w:highlight w:val="none"/>
        </w:rPr>
        <w:t>本单位知悉《关于促进残疾人就业政府采购政策的通知》(财库(2017141号)的规定,承诺提供的声明函内容是真实的,如提供声明函内容不实,则依法追究相关法律责任。</w:t>
      </w:r>
    </w:p>
    <w:p w14:paraId="0D8CAC79">
      <w:pPr>
        <w:ind w:firstLine="5460" w:firstLineChars="2600"/>
        <w:jc w:val="left"/>
        <w:rPr>
          <w:color w:val="auto"/>
          <w:highlight w:val="none"/>
        </w:rPr>
      </w:pPr>
      <w:r>
        <w:rPr>
          <w:rFonts w:hint="eastAsia" w:ascii="宋体" w:hAnsi="宋体"/>
          <w:color w:val="auto"/>
          <w:highlight w:val="none"/>
        </w:rPr>
        <w:t>单位名称</w:t>
      </w:r>
      <w:r>
        <w:rPr>
          <w:rFonts w:hint="eastAsia" w:ascii="宋体" w:hAnsi="宋体" w:cs="宋体"/>
          <w:color w:val="auto"/>
          <w:sz w:val="22"/>
          <w:highlight w:val="none"/>
        </w:rPr>
        <w:t>（盖章）</w:t>
      </w:r>
      <w:r>
        <w:rPr>
          <w:rFonts w:hint="eastAsia" w:ascii="宋体" w:hAnsi="宋体"/>
          <w:color w:val="auto"/>
          <w:highlight w:val="none"/>
        </w:rPr>
        <w:t>：</w:t>
      </w:r>
      <w:r>
        <w:rPr>
          <w:rFonts w:hint="eastAsia"/>
          <w:color w:val="auto"/>
          <w:highlight w:val="none"/>
          <w:u w:val="single"/>
        </w:rPr>
        <w:t xml:space="preserve">           </w:t>
      </w:r>
    </w:p>
    <w:p w14:paraId="44F822BA">
      <w:pPr>
        <w:ind w:firstLine="420" w:firstLineChars="200"/>
        <w:jc w:val="center"/>
        <w:rPr>
          <w:b/>
          <w:color w:val="auto"/>
          <w:spacing w:val="6"/>
          <w:sz w:val="22"/>
          <w:highlight w:val="none"/>
        </w:rPr>
      </w:pPr>
      <w:r>
        <w:rPr>
          <w:rFonts w:hint="eastAsia" w:ascii="宋体" w:hAnsi="宋体"/>
          <w:color w:val="auto"/>
          <w:highlight w:val="none"/>
        </w:rPr>
        <w:t xml:space="preserve">                                  日期：</w:t>
      </w:r>
      <w:r>
        <w:rPr>
          <w:rFonts w:hint="eastAsia"/>
          <w:color w:val="auto"/>
          <w:highlight w:val="none"/>
          <w:u w:val="single"/>
        </w:rPr>
        <w:t xml:space="preserve">               </w:t>
      </w:r>
    </w:p>
    <w:p w14:paraId="426E4011">
      <w:pPr>
        <w:spacing w:line="360" w:lineRule="exact"/>
        <w:jc w:val="center"/>
        <w:rPr>
          <w:b/>
          <w:color w:val="auto"/>
          <w:spacing w:val="6"/>
          <w:sz w:val="22"/>
          <w:highlight w:val="none"/>
        </w:rPr>
      </w:pPr>
    </w:p>
    <w:p w14:paraId="63530648">
      <w:pPr>
        <w:spacing w:line="360" w:lineRule="exact"/>
        <w:jc w:val="center"/>
        <w:rPr>
          <w:b/>
          <w:bCs/>
          <w:color w:val="auto"/>
          <w:sz w:val="22"/>
          <w:highlight w:val="none"/>
        </w:rPr>
      </w:pPr>
      <w:r>
        <w:rPr>
          <w:b/>
          <w:color w:val="auto"/>
          <w:spacing w:val="6"/>
          <w:sz w:val="22"/>
          <w:highlight w:val="none"/>
        </w:rPr>
        <w:t>（三）</w:t>
      </w:r>
      <w:r>
        <w:rPr>
          <w:rFonts w:hint="eastAsia"/>
          <w:b/>
          <w:color w:val="auto"/>
          <w:sz w:val="24"/>
          <w:highlight w:val="none"/>
        </w:rPr>
        <w:t>监狱企业声明函（</w:t>
      </w:r>
      <w:r>
        <w:rPr>
          <w:b/>
          <w:color w:val="auto"/>
          <w:spacing w:val="6"/>
          <w:sz w:val="22"/>
          <w:highlight w:val="none"/>
        </w:rPr>
        <w:t>省级以上监狱管理局、戒毒管理局(含新疆生产建设兵团)出具的属于监狱企业的证明文件原件的扫描件</w:t>
      </w:r>
      <w:r>
        <w:rPr>
          <w:rFonts w:hint="eastAsia"/>
          <w:b/>
          <w:color w:val="auto"/>
          <w:sz w:val="24"/>
          <w:highlight w:val="none"/>
        </w:rPr>
        <w:t>）</w:t>
      </w:r>
    </w:p>
    <w:p w14:paraId="2597E223">
      <w:pPr>
        <w:spacing w:line="360" w:lineRule="auto"/>
        <w:ind w:firstLine="420" w:firstLineChars="200"/>
        <w:rPr>
          <w:rFonts w:ascii="宋体"/>
          <w:color w:val="auto"/>
          <w:szCs w:val="21"/>
          <w:highlight w:val="none"/>
        </w:rPr>
      </w:pPr>
      <w:r>
        <w:rPr>
          <w:rFonts w:hint="eastAsia" w:ascii="宋体" w:hAnsi="宋体"/>
          <w:color w:val="auto"/>
          <w:szCs w:val="21"/>
          <w:highlight w:val="none"/>
        </w:rPr>
        <w:t>本单位郑重声明，根据《财政部 司法部 关于政府采购支持监狱企业发展有关问题的通知》（财库〔</w:t>
      </w:r>
      <w:r>
        <w:rPr>
          <w:rFonts w:ascii="宋体" w:hAnsi="宋体"/>
          <w:color w:val="auto"/>
          <w:szCs w:val="21"/>
          <w:highlight w:val="none"/>
        </w:rPr>
        <w:t>2014</w:t>
      </w:r>
      <w:r>
        <w:rPr>
          <w:rFonts w:hint="eastAsia" w:ascii="宋体" w:hAnsi="宋体"/>
          <w:color w:val="auto"/>
          <w:szCs w:val="21"/>
          <w:highlight w:val="none"/>
        </w:rPr>
        <w:t>〕</w:t>
      </w:r>
      <w:r>
        <w:rPr>
          <w:rFonts w:ascii="宋体" w:hAnsi="宋体"/>
          <w:color w:val="auto"/>
          <w:szCs w:val="21"/>
          <w:highlight w:val="none"/>
        </w:rPr>
        <w:t>68</w:t>
      </w:r>
      <w:r>
        <w:rPr>
          <w:rFonts w:hint="eastAsia" w:ascii="宋体" w:hAnsi="宋体"/>
          <w:color w:val="auto"/>
          <w:szCs w:val="21"/>
          <w:highlight w:val="none"/>
        </w:rPr>
        <w:t>号）的规定，本单位为符合条件的监狱企业，且本单位参加</w:t>
      </w:r>
      <w:r>
        <w:rPr>
          <w:rFonts w:ascii="宋体" w:hAnsi="宋体"/>
          <w:b/>
          <w:color w:val="auto"/>
          <w:szCs w:val="21"/>
          <w:highlight w:val="none"/>
        </w:rPr>
        <w:t>_</w:t>
      </w:r>
      <w:r>
        <w:rPr>
          <w:rFonts w:hint="eastAsia" w:ascii="宋体" w:hAnsi="宋体"/>
          <w:b/>
          <w:color w:val="auto"/>
          <w:szCs w:val="21"/>
          <w:highlight w:val="none"/>
        </w:rPr>
        <w:t>（采购单位名称）</w:t>
      </w:r>
      <w:r>
        <w:rPr>
          <w:rFonts w:ascii="宋体" w:hAnsi="宋体"/>
          <w:b/>
          <w:color w:val="auto"/>
          <w:szCs w:val="21"/>
          <w:highlight w:val="none"/>
        </w:rPr>
        <w:t>_</w:t>
      </w:r>
      <w:r>
        <w:rPr>
          <w:rFonts w:hint="eastAsia" w:ascii="宋体" w:hAnsi="宋体"/>
          <w:color w:val="auto"/>
          <w:szCs w:val="21"/>
          <w:highlight w:val="none"/>
        </w:rPr>
        <w:t>单位的</w:t>
      </w:r>
      <w:r>
        <w:rPr>
          <w:rFonts w:ascii="宋体" w:hAnsi="宋体"/>
          <w:b/>
          <w:color w:val="auto"/>
          <w:szCs w:val="21"/>
          <w:highlight w:val="none"/>
        </w:rPr>
        <w:t>_</w:t>
      </w:r>
      <w:r>
        <w:rPr>
          <w:rFonts w:hint="eastAsia" w:ascii="宋体" w:hAnsi="宋体"/>
          <w:b/>
          <w:color w:val="auto"/>
          <w:szCs w:val="21"/>
          <w:highlight w:val="none"/>
        </w:rPr>
        <w:t>（采购项目名称）</w:t>
      </w:r>
      <w:r>
        <w:rPr>
          <w:rFonts w:ascii="宋体" w:hAnsi="宋体"/>
          <w:b/>
          <w:color w:val="auto"/>
          <w:szCs w:val="21"/>
          <w:highlight w:val="none"/>
        </w:rPr>
        <w:t>_</w:t>
      </w:r>
      <w:r>
        <w:rPr>
          <w:rFonts w:hint="eastAsia" w:ascii="宋体" w:hAnsi="宋体"/>
          <w:color w:val="auto"/>
          <w:szCs w:val="21"/>
          <w:highlight w:val="none"/>
        </w:rPr>
        <w:t>项目采购活动，并提供</w:t>
      </w:r>
      <w:r>
        <w:rPr>
          <w:rFonts w:ascii="宋体" w:hAnsi="宋体"/>
          <w:color w:val="auto"/>
          <w:szCs w:val="21"/>
          <w:highlight w:val="none"/>
        </w:rPr>
        <w:t>:</w:t>
      </w:r>
      <w:r>
        <w:rPr>
          <w:rFonts w:hint="eastAsia" w:ascii="宋体" w:hAnsi="宋体"/>
          <w:b/>
          <w:color w:val="auto"/>
          <w:szCs w:val="21"/>
          <w:highlight w:val="none"/>
        </w:rPr>
        <w:t>□本单位制造的货物</w:t>
      </w:r>
      <w:r>
        <w:rPr>
          <w:rFonts w:ascii="宋体" w:hAnsi="宋体"/>
          <w:b/>
          <w:color w:val="auto"/>
          <w:szCs w:val="21"/>
          <w:highlight w:val="none"/>
        </w:rPr>
        <w:t>;</w:t>
      </w:r>
      <w:r>
        <w:rPr>
          <w:rFonts w:hint="eastAsia" w:ascii="宋体" w:hAnsi="宋体"/>
          <w:b/>
          <w:color w:val="auto"/>
          <w:szCs w:val="21"/>
          <w:highlight w:val="none"/>
        </w:rPr>
        <w:t>□提供其他监狱企业制造的货物（承诺人在□处打√）</w:t>
      </w:r>
      <w:r>
        <w:rPr>
          <w:rFonts w:hint="eastAsia" w:ascii="宋体" w:hAnsi="宋体"/>
          <w:color w:val="auto"/>
          <w:szCs w:val="21"/>
          <w:highlight w:val="none"/>
        </w:rPr>
        <w:t>。</w:t>
      </w:r>
    </w:p>
    <w:p w14:paraId="0AC5E0B6">
      <w:pPr>
        <w:spacing w:line="360" w:lineRule="auto"/>
        <w:ind w:firstLine="420" w:firstLineChars="200"/>
        <w:rPr>
          <w:rFonts w:asci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4BFC1309">
      <w:pPr>
        <w:spacing w:line="360" w:lineRule="auto"/>
        <w:rPr>
          <w:rFonts w:ascii="宋体"/>
          <w:color w:val="auto"/>
          <w:szCs w:val="21"/>
          <w:highlight w:val="none"/>
        </w:rPr>
      </w:pPr>
      <w:r>
        <w:rPr>
          <w:rFonts w:hint="eastAsia" w:ascii="宋体" w:hAnsi="宋体"/>
          <w:color w:val="auto"/>
          <w:szCs w:val="21"/>
          <w:highlight w:val="none"/>
        </w:rPr>
        <w:t>附：省级以上监狱管理局、戒毒管理局（含新疆生产建设兵团）出具的监狱企业证明文件。</w:t>
      </w:r>
    </w:p>
    <w:p w14:paraId="052FE7BF">
      <w:pPr>
        <w:spacing w:line="360" w:lineRule="auto"/>
        <w:ind w:firstLine="5460" w:firstLineChars="2600"/>
        <w:jc w:val="left"/>
        <w:rPr>
          <w:color w:val="auto"/>
          <w:highlight w:val="none"/>
        </w:rPr>
      </w:pPr>
      <w:r>
        <w:rPr>
          <w:rFonts w:hint="eastAsia" w:ascii="宋体" w:hAnsi="宋体"/>
          <w:color w:val="auto"/>
          <w:highlight w:val="none"/>
        </w:rPr>
        <w:t>单位名称</w:t>
      </w:r>
      <w:r>
        <w:rPr>
          <w:rFonts w:hint="eastAsia" w:ascii="宋体" w:hAnsi="宋体" w:cs="宋体"/>
          <w:color w:val="auto"/>
          <w:sz w:val="22"/>
          <w:highlight w:val="none"/>
        </w:rPr>
        <w:t>（盖章）</w:t>
      </w:r>
      <w:r>
        <w:rPr>
          <w:rFonts w:hint="eastAsia" w:ascii="宋体" w:hAnsi="宋体"/>
          <w:color w:val="auto"/>
          <w:highlight w:val="none"/>
        </w:rPr>
        <w:t>：</w:t>
      </w:r>
      <w:r>
        <w:rPr>
          <w:rFonts w:hint="eastAsia"/>
          <w:color w:val="auto"/>
          <w:highlight w:val="none"/>
          <w:u w:val="single"/>
        </w:rPr>
        <w:t xml:space="preserve">           </w:t>
      </w:r>
    </w:p>
    <w:p w14:paraId="31CA25DE">
      <w:pPr>
        <w:spacing w:line="360" w:lineRule="auto"/>
        <w:ind w:firstLine="420" w:firstLineChars="200"/>
        <w:jc w:val="center"/>
        <w:rPr>
          <w:color w:val="auto"/>
          <w:highlight w:val="none"/>
        </w:rPr>
      </w:pPr>
      <w:r>
        <w:rPr>
          <w:rFonts w:hint="eastAsia" w:ascii="宋体" w:hAnsi="宋体"/>
          <w:color w:val="auto"/>
          <w:highlight w:val="none"/>
        </w:rPr>
        <w:t xml:space="preserve">                                  日期：</w:t>
      </w:r>
      <w:r>
        <w:rPr>
          <w:rFonts w:hint="eastAsia"/>
          <w:color w:val="auto"/>
          <w:highlight w:val="none"/>
          <w:u w:val="single"/>
        </w:rPr>
        <w:t xml:space="preserve">               </w:t>
      </w:r>
    </w:p>
    <w:p w14:paraId="75A46CB8">
      <w:pPr>
        <w:spacing w:line="360" w:lineRule="exact"/>
        <w:ind w:firstLine="440" w:firstLineChars="200"/>
        <w:rPr>
          <w:color w:val="auto"/>
          <w:highlight w:val="none"/>
        </w:rPr>
      </w:pPr>
      <w:r>
        <w:rPr>
          <w:bCs/>
          <w:color w:val="auto"/>
          <w:sz w:val="22"/>
          <w:highlight w:val="none"/>
        </w:rPr>
        <w:br w:type="page"/>
      </w:r>
    </w:p>
    <w:p w14:paraId="3CA67BB0">
      <w:pPr>
        <w:numPr>
          <w:ilvl w:val="0"/>
          <w:numId w:val="0"/>
        </w:numPr>
        <w:tabs>
          <w:tab w:val="left" w:pos="0"/>
        </w:tabs>
        <w:ind w:left="0" w:leftChars="0" w:firstLine="397" w:firstLineChars="0"/>
        <w:jc w:val="center"/>
        <w:outlineLvl w:val="2"/>
        <w:rPr>
          <w:b/>
          <w:bCs/>
          <w:color w:val="auto"/>
          <w:sz w:val="32"/>
          <w:szCs w:val="32"/>
          <w:highlight w:val="none"/>
        </w:rPr>
      </w:pPr>
      <w:r>
        <w:rPr>
          <w:rFonts w:hint="eastAsia" w:ascii="宋体" w:hAnsi="宋体" w:eastAsia="宋体" w:cs="宋体"/>
          <w:b/>
          <w:bCs/>
          <w:color w:val="auto"/>
          <w:kern w:val="2"/>
          <w:sz w:val="32"/>
          <w:szCs w:val="32"/>
          <w:highlight w:val="none"/>
          <w:lang w:val="en-US" w:eastAsia="zh-CN" w:bidi="ar-SA"/>
        </w:rPr>
        <w:t>十五、</w:t>
      </w:r>
      <w:r>
        <w:rPr>
          <w:b/>
          <w:bCs/>
          <w:color w:val="auto"/>
          <w:sz w:val="32"/>
          <w:szCs w:val="32"/>
          <w:highlight w:val="none"/>
        </w:rPr>
        <w:t>招标文件要求的其他内容及投标人认为需要加以说明的其他内容</w:t>
      </w:r>
    </w:p>
    <w:p w14:paraId="4F0C0EFB">
      <w:pPr>
        <w:rPr>
          <w:color w:val="auto"/>
          <w:highlight w:val="none"/>
        </w:rPr>
      </w:pPr>
      <w:r>
        <w:rPr>
          <w:color w:val="auto"/>
          <w:highlight w:val="none"/>
        </w:rPr>
        <w:br w:type="page"/>
      </w:r>
    </w:p>
    <w:p w14:paraId="4F3EBAB6">
      <w:pPr>
        <w:rPr>
          <w:color w:val="auto"/>
          <w:highlight w:val="none"/>
        </w:rPr>
      </w:pPr>
    </w:p>
    <w:p w14:paraId="247DC0A2">
      <w:pPr>
        <w:rPr>
          <w:color w:val="auto"/>
          <w:highlight w:val="none"/>
        </w:rPr>
      </w:pPr>
    </w:p>
    <w:p w14:paraId="56BD46F4">
      <w:pPr>
        <w:rPr>
          <w:color w:val="auto"/>
          <w:highlight w:val="none"/>
        </w:rPr>
      </w:pPr>
    </w:p>
    <w:p w14:paraId="134CEFCC">
      <w:pPr>
        <w:rPr>
          <w:color w:val="auto"/>
          <w:highlight w:val="none"/>
        </w:rPr>
      </w:pPr>
    </w:p>
    <w:p w14:paraId="1A9FA054">
      <w:pPr>
        <w:rPr>
          <w:color w:val="auto"/>
          <w:highlight w:val="none"/>
        </w:rPr>
      </w:pPr>
    </w:p>
    <w:p w14:paraId="589A8F90">
      <w:pPr>
        <w:rPr>
          <w:color w:val="auto"/>
          <w:highlight w:val="none"/>
        </w:rPr>
      </w:pPr>
    </w:p>
    <w:p w14:paraId="20B435FC">
      <w:pPr>
        <w:rPr>
          <w:color w:val="auto"/>
          <w:highlight w:val="none"/>
        </w:rPr>
      </w:pPr>
    </w:p>
    <w:p w14:paraId="51BBDA01">
      <w:pPr>
        <w:rPr>
          <w:color w:val="auto"/>
          <w:highlight w:val="none"/>
        </w:rPr>
      </w:pPr>
    </w:p>
    <w:p w14:paraId="20509C12">
      <w:pPr>
        <w:rPr>
          <w:color w:val="auto"/>
          <w:highlight w:val="none"/>
        </w:rPr>
      </w:pPr>
    </w:p>
    <w:p w14:paraId="79021D40">
      <w:pPr>
        <w:rPr>
          <w:color w:val="auto"/>
          <w:highlight w:val="none"/>
        </w:rPr>
      </w:pPr>
    </w:p>
    <w:p w14:paraId="2EB11E92">
      <w:pPr>
        <w:rPr>
          <w:color w:val="auto"/>
          <w:highlight w:val="none"/>
        </w:rPr>
      </w:pPr>
    </w:p>
    <w:p w14:paraId="7A415590">
      <w:pPr>
        <w:rPr>
          <w:color w:val="auto"/>
          <w:highlight w:val="none"/>
        </w:rPr>
      </w:pPr>
    </w:p>
    <w:p w14:paraId="6FFF7B6A">
      <w:pPr>
        <w:rPr>
          <w:color w:val="auto"/>
          <w:highlight w:val="none"/>
        </w:rPr>
      </w:pPr>
    </w:p>
    <w:p w14:paraId="4761F0BC">
      <w:pPr>
        <w:rPr>
          <w:color w:val="auto"/>
          <w:highlight w:val="none"/>
        </w:rPr>
      </w:pPr>
    </w:p>
    <w:p w14:paraId="0BD528F3">
      <w:pPr>
        <w:rPr>
          <w:color w:val="auto"/>
          <w:highlight w:val="none"/>
        </w:rPr>
      </w:pPr>
    </w:p>
    <w:p w14:paraId="57F6B6F3">
      <w:pPr>
        <w:rPr>
          <w:color w:val="auto"/>
          <w:highlight w:val="none"/>
        </w:rPr>
      </w:pPr>
    </w:p>
    <w:p w14:paraId="0D86F161">
      <w:pPr>
        <w:pStyle w:val="3"/>
        <w:rPr>
          <w:bCs/>
          <w:color w:val="auto"/>
          <w:kern w:val="28"/>
          <w:sz w:val="44"/>
          <w:szCs w:val="44"/>
          <w:highlight w:val="none"/>
        </w:rPr>
      </w:pPr>
      <w:r>
        <w:rPr>
          <w:bCs/>
          <w:color w:val="auto"/>
          <w:kern w:val="28"/>
          <w:sz w:val="44"/>
          <w:szCs w:val="44"/>
          <w:highlight w:val="none"/>
        </w:rPr>
        <w:t xml:space="preserve">第四章  </w:t>
      </w:r>
      <w:r>
        <w:rPr>
          <w:rFonts w:hint="eastAsia"/>
          <w:bCs/>
          <w:color w:val="auto"/>
          <w:kern w:val="28"/>
          <w:sz w:val="44"/>
          <w:szCs w:val="44"/>
          <w:highlight w:val="none"/>
        </w:rPr>
        <w:t>合同条款及格式</w:t>
      </w:r>
    </w:p>
    <w:p w14:paraId="377326B1">
      <w:pPr>
        <w:pStyle w:val="2"/>
        <w:numPr>
          <w:ilvl w:val="0"/>
          <w:numId w:val="11"/>
        </w:numPr>
        <w:rPr>
          <w:rFonts w:ascii="宋体" w:hAnsi="宋体" w:cs="宋体"/>
          <w:b/>
          <w:color w:val="auto"/>
          <w:kern w:val="0"/>
          <w:sz w:val="24"/>
          <w:highlight w:val="none"/>
        </w:rPr>
      </w:pPr>
      <w:r>
        <w:rPr>
          <w:color w:val="auto"/>
          <w:kern w:val="2"/>
          <w:sz w:val="32"/>
          <w:highlight w:val="none"/>
        </w:rPr>
        <w:br w:type="page"/>
      </w:r>
      <w:r>
        <w:rPr>
          <w:rFonts w:hint="eastAsia" w:ascii="宋体" w:hAnsi="宋体" w:cs="宋体"/>
          <w:b/>
          <w:color w:val="auto"/>
          <w:kern w:val="0"/>
          <w:sz w:val="24"/>
          <w:highlight w:val="none"/>
        </w:rPr>
        <w:t>重要提示</w:t>
      </w:r>
    </w:p>
    <w:p w14:paraId="61FE32B8">
      <w:pPr>
        <w:ind w:firstLine="420" w:firstLineChars="200"/>
        <w:rPr>
          <w:rFonts w:ascii="宋体" w:hAnsi="宋体" w:cs="宋体"/>
          <w:color w:val="auto"/>
          <w:highlight w:val="none"/>
        </w:rPr>
      </w:pPr>
    </w:p>
    <w:p w14:paraId="61785EF6">
      <w:pPr>
        <w:ind w:firstLine="420" w:firstLineChars="200"/>
        <w:rPr>
          <w:rFonts w:ascii="宋体" w:hAnsi="宋体" w:cs="宋体"/>
          <w:color w:val="auto"/>
          <w:highlight w:val="none"/>
        </w:rPr>
      </w:pPr>
      <w:r>
        <w:rPr>
          <w:rFonts w:hint="eastAsia" w:ascii="宋体" w:hAnsi="宋体" w:cs="宋体"/>
          <w:color w:val="auto"/>
          <w:highlight w:val="none"/>
        </w:rPr>
        <w:t>（一）参照《深圳经济特区政府采购条例》规定：供应商在政府采购中，未按本条例规定签订、履行采购合同，造成严重后果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5E428E83">
      <w:pPr>
        <w:ind w:firstLine="420" w:firstLineChars="200"/>
        <w:rPr>
          <w:rFonts w:hint="eastAsia" w:ascii="宋体" w:hAnsi="宋体" w:cs="宋体"/>
          <w:color w:val="auto"/>
          <w:highlight w:val="none"/>
        </w:rPr>
      </w:pPr>
      <w:r>
        <w:rPr>
          <w:rFonts w:hint="eastAsia" w:ascii="宋体" w:hAnsi="宋体" w:cs="宋体"/>
          <w:color w:val="auto"/>
          <w:highlight w:val="none"/>
        </w:rPr>
        <w:t>（二）供应商必须诚信投标，对项目需求进行实质性响应。采购单位（或深圳市东海国际招标有限公司）将组织聘请第三方专业机构（必要时，邀请参加本项目投标的供应商）实施项目履约验收，如未按合同履约，将按上述第（一）条规定进行处理。</w:t>
      </w:r>
    </w:p>
    <w:p w14:paraId="04ED8F8A">
      <w:pPr>
        <w:ind w:firstLine="420" w:firstLineChars="200"/>
        <w:rPr>
          <w:rFonts w:ascii="宋体" w:hAnsi="宋体" w:cs="宋体"/>
          <w:color w:val="auto"/>
          <w:highlight w:val="none"/>
        </w:rPr>
      </w:pPr>
    </w:p>
    <w:p w14:paraId="05E6F7FE">
      <w:pPr>
        <w:pStyle w:val="2"/>
        <w:numPr>
          <w:ilvl w:val="0"/>
          <w:numId w:val="11"/>
        </w:numPr>
        <w:rPr>
          <w:bCs w:val="0"/>
          <w:color w:val="auto"/>
          <w:kern w:val="2"/>
          <w:sz w:val="21"/>
          <w:highlight w:val="none"/>
        </w:rPr>
      </w:pPr>
      <w:r>
        <w:rPr>
          <w:color w:val="auto"/>
          <w:kern w:val="2"/>
          <w:sz w:val="32"/>
          <w:highlight w:val="none"/>
        </w:rPr>
        <w:br w:type="page"/>
      </w:r>
      <w:r>
        <w:rPr>
          <w:b/>
          <w:color w:val="auto"/>
          <w:kern w:val="2"/>
          <w:sz w:val="21"/>
          <w:highlight w:val="none"/>
        </w:rPr>
        <w:t>合同条款及格式</w:t>
      </w:r>
    </w:p>
    <w:p w14:paraId="5B8E65D1">
      <w:pPr>
        <w:jc w:val="center"/>
        <w:rPr>
          <w:rFonts w:ascii="Calibri" w:hAnsi="Calibri"/>
          <w:color w:val="auto"/>
          <w:highlight w:val="none"/>
        </w:rPr>
      </w:pPr>
      <w:r>
        <w:rPr>
          <w:rFonts w:ascii="Calibri" w:hAnsi="Calibri"/>
          <w:color w:val="auto"/>
          <w:highlight w:val="none"/>
        </w:rPr>
        <w:t>有专业类别的格式合同范本请选择相应的合同</w:t>
      </w:r>
    </w:p>
    <w:p w14:paraId="5C582EF3">
      <w:pPr>
        <w:jc w:val="center"/>
        <w:rPr>
          <w:rFonts w:ascii="Calibri" w:hAnsi="Calibri"/>
          <w:color w:val="auto"/>
          <w:highlight w:val="none"/>
        </w:rPr>
      </w:pPr>
      <w:r>
        <w:rPr>
          <w:rFonts w:ascii="Calibri" w:hAnsi="Calibri"/>
          <w:color w:val="auto"/>
          <w:highlight w:val="none"/>
        </w:rPr>
        <w:t>（仅供参考）</w:t>
      </w:r>
    </w:p>
    <w:p w14:paraId="47C537BA">
      <w:pPr>
        <w:jc w:val="left"/>
        <w:rPr>
          <w:rFonts w:ascii="Calibri" w:hAnsi="Calibri"/>
          <w:color w:val="auto"/>
          <w:szCs w:val="21"/>
          <w:highlight w:val="none"/>
        </w:rPr>
      </w:pPr>
      <w:r>
        <w:rPr>
          <w:rFonts w:ascii="Calibri" w:hAnsi="Calibri"/>
          <w:color w:val="auto"/>
          <w:szCs w:val="21"/>
          <w:highlight w:val="none"/>
        </w:rPr>
        <w:t>采购人：</w:t>
      </w:r>
      <w:r>
        <w:rPr>
          <w:rFonts w:ascii="Calibri" w:hAnsi="Calibri"/>
          <w:color w:val="auto"/>
          <w:szCs w:val="21"/>
          <w:highlight w:val="none"/>
          <w:u w:val="single"/>
        </w:rPr>
        <w:t xml:space="preserve">           </w:t>
      </w:r>
    </w:p>
    <w:p w14:paraId="25092DFF">
      <w:pPr>
        <w:jc w:val="left"/>
        <w:rPr>
          <w:rFonts w:ascii="Calibri" w:hAnsi="Calibri"/>
          <w:color w:val="auto"/>
          <w:szCs w:val="21"/>
          <w:highlight w:val="none"/>
        </w:rPr>
      </w:pPr>
      <w:r>
        <w:rPr>
          <w:rFonts w:ascii="Calibri" w:hAnsi="Calibri"/>
          <w:color w:val="auto"/>
          <w:szCs w:val="21"/>
          <w:highlight w:val="none"/>
        </w:rPr>
        <w:t>供应商：</w:t>
      </w:r>
      <w:r>
        <w:rPr>
          <w:rFonts w:ascii="Calibri" w:hAnsi="Calibri"/>
          <w:color w:val="auto"/>
          <w:szCs w:val="21"/>
          <w:highlight w:val="none"/>
          <w:u w:val="single"/>
        </w:rPr>
        <w:t xml:space="preserve">           </w:t>
      </w:r>
    </w:p>
    <w:p w14:paraId="62F7C78A">
      <w:pPr>
        <w:ind w:firstLine="560"/>
        <w:jc w:val="left"/>
        <w:rPr>
          <w:rFonts w:ascii="Calibri" w:hAnsi="Calibri"/>
          <w:color w:val="auto"/>
          <w:szCs w:val="21"/>
          <w:highlight w:val="none"/>
        </w:rPr>
      </w:pPr>
      <w:r>
        <w:rPr>
          <w:rFonts w:ascii="Calibri" w:hAnsi="Calibri"/>
          <w:color w:val="auto"/>
          <w:szCs w:val="21"/>
          <w:highlight w:val="none"/>
        </w:rPr>
        <w:t>根据深圳市东海国际招标有限公司组织的</w:t>
      </w:r>
      <w:r>
        <w:rPr>
          <w:rFonts w:ascii="Calibri" w:hAnsi="Calibri"/>
          <w:color w:val="auto"/>
          <w:szCs w:val="21"/>
          <w:highlight w:val="none"/>
          <w:u w:val="single"/>
        </w:rPr>
        <w:t xml:space="preserve">        </w:t>
      </w:r>
      <w:r>
        <w:rPr>
          <w:rFonts w:ascii="Calibri" w:hAnsi="Calibri"/>
          <w:color w:val="auto"/>
          <w:szCs w:val="21"/>
          <w:highlight w:val="none"/>
        </w:rPr>
        <w:t>项目（</w:t>
      </w:r>
      <w:r>
        <w:rPr>
          <w:rFonts w:hint="eastAsia" w:ascii="Calibri" w:hAnsi="Calibri"/>
          <w:color w:val="auto"/>
          <w:szCs w:val="21"/>
          <w:highlight w:val="none"/>
        </w:rPr>
        <w:t>项目</w:t>
      </w:r>
      <w:r>
        <w:rPr>
          <w:rFonts w:ascii="Calibri" w:hAnsi="Calibri"/>
          <w:color w:val="auto"/>
          <w:szCs w:val="21"/>
          <w:highlight w:val="none"/>
        </w:rPr>
        <w:t>编号：</w:t>
      </w:r>
      <w:r>
        <w:rPr>
          <w:rFonts w:ascii="Calibri" w:hAnsi="Calibri"/>
          <w:color w:val="auto"/>
          <w:szCs w:val="21"/>
          <w:highlight w:val="none"/>
          <w:u w:val="single"/>
        </w:rPr>
        <w:t xml:space="preserve">        </w:t>
      </w:r>
      <w:r>
        <w:rPr>
          <w:rFonts w:ascii="Calibri" w:hAnsi="Calibri"/>
          <w:color w:val="auto"/>
          <w:szCs w:val="21"/>
          <w:highlight w:val="none"/>
        </w:rPr>
        <w:t>）的投标结果，由</w:t>
      </w:r>
      <w:r>
        <w:rPr>
          <w:rFonts w:ascii="Calibri" w:hAnsi="Calibri"/>
          <w:color w:val="auto"/>
          <w:szCs w:val="21"/>
          <w:highlight w:val="none"/>
          <w:u w:val="single"/>
        </w:rPr>
        <w:t xml:space="preserve">       </w:t>
      </w:r>
      <w:r>
        <w:rPr>
          <w:rFonts w:ascii="Calibri" w:hAnsi="Calibri"/>
          <w:color w:val="auto"/>
          <w:szCs w:val="21"/>
          <w:highlight w:val="none"/>
        </w:rPr>
        <w:t>单位为中标方。按照《中华人民共和国</w:t>
      </w:r>
      <w:r>
        <w:rPr>
          <w:rFonts w:hint="eastAsia" w:ascii="Calibri" w:hAnsi="Calibri"/>
          <w:color w:val="auto"/>
          <w:szCs w:val="21"/>
          <w:highlight w:val="none"/>
        </w:rPr>
        <w:t>民</w:t>
      </w:r>
      <w:r>
        <w:rPr>
          <w:rFonts w:ascii="Calibri" w:hAnsi="Calibri"/>
          <w:color w:val="auto"/>
          <w:szCs w:val="21"/>
          <w:highlight w:val="none"/>
        </w:rPr>
        <w:t>法</w:t>
      </w:r>
      <w:r>
        <w:rPr>
          <w:rFonts w:hint="eastAsia" w:ascii="Calibri" w:hAnsi="Calibri"/>
          <w:color w:val="auto"/>
          <w:szCs w:val="21"/>
          <w:highlight w:val="none"/>
        </w:rPr>
        <w:t>典</w:t>
      </w:r>
      <w:r>
        <w:rPr>
          <w:rFonts w:ascii="Calibri" w:hAnsi="Calibri"/>
          <w:color w:val="auto"/>
          <w:szCs w:val="21"/>
          <w:highlight w:val="none"/>
        </w:rPr>
        <w:t>》和《深圳经济特区政府采购条例》，经深圳市</w:t>
      </w:r>
      <w:r>
        <w:rPr>
          <w:rFonts w:ascii="Calibri" w:hAnsi="Calibri"/>
          <w:color w:val="auto"/>
          <w:szCs w:val="21"/>
          <w:highlight w:val="none"/>
          <w:u w:val="single"/>
        </w:rPr>
        <w:t xml:space="preserve">           </w:t>
      </w:r>
      <w:r>
        <w:rPr>
          <w:rFonts w:ascii="Calibri" w:hAnsi="Calibri"/>
          <w:color w:val="auto"/>
          <w:szCs w:val="21"/>
          <w:highlight w:val="none"/>
        </w:rPr>
        <w:t>（以下简称甲方）和</w:t>
      </w:r>
      <w:r>
        <w:rPr>
          <w:rFonts w:ascii="Calibri" w:hAnsi="Calibri"/>
          <w:color w:val="auto"/>
          <w:szCs w:val="21"/>
          <w:highlight w:val="none"/>
          <w:u w:val="single"/>
        </w:rPr>
        <w:t xml:space="preserve">           </w:t>
      </w:r>
      <w:r>
        <w:rPr>
          <w:rFonts w:ascii="Calibri" w:hAnsi="Calibri"/>
          <w:color w:val="auto"/>
          <w:szCs w:val="21"/>
          <w:highlight w:val="none"/>
        </w:rPr>
        <w:t>单位（以下简称乙方）协商，达成以下合同条款：</w:t>
      </w:r>
    </w:p>
    <w:p w14:paraId="39A26682">
      <w:pPr>
        <w:ind w:firstLine="560"/>
        <w:jc w:val="left"/>
        <w:rPr>
          <w:rFonts w:ascii="Calibri" w:hAnsi="Calibri"/>
          <w:b/>
          <w:color w:val="auto"/>
          <w:szCs w:val="21"/>
          <w:highlight w:val="none"/>
        </w:rPr>
      </w:pPr>
      <w:r>
        <w:rPr>
          <w:rFonts w:ascii="Calibri" w:hAnsi="Calibri"/>
          <w:b/>
          <w:color w:val="auto"/>
          <w:szCs w:val="21"/>
          <w:highlight w:val="none"/>
        </w:rPr>
        <w:t>第一条  合同标的</w:t>
      </w:r>
    </w:p>
    <w:p w14:paraId="13DBE006">
      <w:pPr>
        <w:ind w:firstLine="560"/>
        <w:jc w:val="left"/>
        <w:rPr>
          <w:rFonts w:ascii="Calibri" w:hAnsi="Calibri"/>
          <w:color w:val="auto"/>
          <w:szCs w:val="21"/>
          <w:highlight w:val="none"/>
        </w:rPr>
      </w:pPr>
      <w:r>
        <w:rPr>
          <w:rFonts w:ascii="Calibri" w:hAnsi="Calibri"/>
          <w:color w:val="auto"/>
          <w:szCs w:val="21"/>
          <w:highlight w:val="none"/>
        </w:rPr>
        <w:t>乙方根据甲方需求提供下列货物：</w:t>
      </w:r>
    </w:p>
    <w:p w14:paraId="51B4B3F8">
      <w:pPr>
        <w:ind w:firstLine="560"/>
        <w:jc w:val="left"/>
        <w:rPr>
          <w:rFonts w:ascii="Calibri" w:hAnsi="Calibri"/>
          <w:color w:val="auto"/>
          <w:szCs w:val="21"/>
          <w:highlight w:val="none"/>
        </w:rPr>
      </w:pPr>
      <w:r>
        <w:rPr>
          <w:rFonts w:ascii="Calibri" w:hAnsi="Calibri"/>
          <w:color w:val="auto"/>
          <w:szCs w:val="21"/>
          <w:highlight w:val="none"/>
        </w:rPr>
        <w:t>货物名称、规格及数量详见</w:t>
      </w:r>
      <w:r>
        <w:rPr>
          <w:rFonts w:ascii="Calibri" w:hAnsi="Calibri"/>
          <w:b/>
          <w:color w:val="auto"/>
          <w:szCs w:val="21"/>
          <w:highlight w:val="none"/>
          <w:u w:val="single"/>
        </w:rPr>
        <w:t xml:space="preserve">                  </w:t>
      </w:r>
      <w:r>
        <w:rPr>
          <w:rFonts w:ascii="Calibri" w:hAnsi="Calibri"/>
          <w:color w:val="auto"/>
          <w:szCs w:val="21"/>
          <w:highlight w:val="none"/>
        </w:rPr>
        <w:t>。</w:t>
      </w:r>
    </w:p>
    <w:p w14:paraId="50D20821">
      <w:pPr>
        <w:ind w:firstLine="560"/>
        <w:jc w:val="left"/>
        <w:rPr>
          <w:rFonts w:ascii="Calibri" w:hAnsi="Calibri"/>
          <w:b/>
          <w:color w:val="auto"/>
          <w:szCs w:val="21"/>
          <w:highlight w:val="none"/>
        </w:rPr>
      </w:pPr>
      <w:r>
        <w:rPr>
          <w:rFonts w:ascii="Calibri" w:hAnsi="Calibri"/>
          <w:b/>
          <w:color w:val="auto"/>
          <w:szCs w:val="21"/>
          <w:highlight w:val="none"/>
        </w:rPr>
        <w:t>第二条  合同价款</w:t>
      </w:r>
    </w:p>
    <w:p w14:paraId="424552B4">
      <w:pPr>
        <w:ind w:firstLine="560"/>
        <w:jc w:val="left"/>
        <w:rPr>
          <w:rFonts w:ascii="Calibri" w:hAnsi="Calibri"/>
          <w:color w:val="auto"/>
          <w:szCs w:val="21"/>
          <w:highlight w:val="none"/>
        </w:rPr>
      </w:pPr>
      <w:r>
        <w:rPr>
          <w:rFonts w:ascii="Calibri" w:hAnsi="Calibri"/>
          <w:color w:val="auto"/>
          <w:szCs w:val="21"/>
          <w:highlight w:val="none"/>
        </w:rPr>
        <w:t>本合同项下总价款为</w:t>
      </w:r>
      <w:r>
        <w:rPr>
          <w:rFonts w:ascii="Calibri" w:hAnsi="Calibri"/>
          <w:color w:val="auto"/>
          <w:szCs w:val="21"/>
          <w:highlight w:val="none"/>
          <w:u w:val="single"/>
        </w:rPr>
        <w:t xml:space="preserve">              </w:t>
      </w:r>
      <w:r>
        <w:rPr>
          <w:rFonts w:ascii="Calibri" w:hAnsi="Calibri"/>
          <w:color w:val="auto"/>
          <w:szCs w:val="21"/>
          <w:highlight w:val="none"/>
        </w:rPr>
        <w:t>（大写）人民币，分项价款详见</w:t>
      </w:r>
      <w:r>
        <w:rPr>
          <w:rFonts w:ascii="Calibri" w:hAnsi="Calibri"/>
          <w:b/>
          <w:color w:val="auto"/>
          <w:szCs w:val="21"/>
          <w:highlight w:val="none"/>
          <w:u w:val="single"/>
        </w:rPr>
        <w:t xml:space="preserve">          </w:t>
      </w:r>
      <w:r>
        <w:rPr>
          <w:rFonts w:ascii="Calibri" w:hAnsi="Calibri"/>
          <w:color w:val="auto"/>
          <w:szCs w:val="21"/>
          <w:highlight w:val="none"/>
        </w:rPr>
        <w:t>。本合同总价款已包括乙方为履行本合同义务所发生的一切费用，系固定不变价格，且不随通货膨胀的影响而波动。</w:t>
      </w:r>
    </w:p>
    <w:p w14:paraId="196A54D5">
      <w:pPr>
        <w:ind w:firstLine="560"/>
        <w:jc w:val="left"/>
        <w:rPr>
          <w:rFonts w:ascii="Calibri" w:hAnsi="Calibri"/>
          <w:b/>
          <w:color w:val="auto"/>
          <w:szCs w:val="21"/>
          <w:highlight w:val="none"/>
        </w:rPr>
      </w:pPr>
      <w:r>
        <w:rPr>
          <w:rFonts w:ascii="Calibri" w:hAnsi="Calibri"/>
          <w:b/>
          <w:color w:val="auto"/>
          <w:szCs w:val="21"/>
          <w:highlight w:val="none"/>
        </w:rPr>
        <w:t>第三条  权利保证</w:t>
      </w:r>
    </w:p>
    <w:p w14:paraId="0621C11E">
      <w:pPr>
        <w:ind w:firstLine="560"/>
        <w:jc w:val="left"/>
        <w:rPr>
          <w:rFonts w:ascii="Calibri" w:hAnsi="Calibri"/>
          <w:color w:val="auto"/>
          <w:szCs w:val="21"/>
          <w:highlight w:val="none"/>
        </w:rPr>
      </w:pPr>
      <w:r>
        <w:rPr>
          <w:rFonts w:ascii="Calibri" w:hAnsi="Calibri"/>
          <w:color w:val="auto"/>
          <w:szCs w:val="21"/>
          <w:highlight w:val="none"/>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7FAD147F">
      <w:pPr>
        <w:ind w:firstLine="560"/>
        <w:jc w:val="left"/>
        <w:rPr>
          <w:rFonts w:ascii="Calibri" w:hAnsi="Calibri"/>
          <w:b/>
          <w:color w:val="auto"/>
          <w:szCs w:val="21"/>
          <w:highlight w:val="none"/>
        </w:rPr>
      </w:pPr>
      <w:r>
        <w:rPr>
          <w:rFonts w:ascii="Calibri" w:hAnsi="Calibri"/>
          <w:b/>
          <w:color w:val="auto"/>
          <w:szCs w:val="21"/>
          <w:highlight w:val="none"/>
        </w:rPr>
        <w:t>第四条  质量保证</w:t>
      </w:r>
    </w:p>
    <w:p w14:paraId="3A2313CD">
      <w:pPr>
        <w:ind w:firstLine="560"/>
        <w:jc w:val="left"/>
        <w:rPr>
          <w:rFonts w:ascii="Calibri" w:hAnsi="Calibri"/>
          <w:color w:val="auto"/>
          <w:szCs w:val="21"/>
          <w:highlight w:val="none"/>
        </w:rPr>
      </w:pPr>
      <w:r>
        <w:rPr>
          <w:rFonts w:ascii="Calibri" w:hAnsi="Calibri"/>
          <w:color w:val="auto"/>
          <w:szCs w:val="21"/>
          <w:highlight w:val="none"/>
        </w:rPr>
        <w:t>1、乙方所提供的货物的技术规格符合采购文件规定的技术规格，货物符合中华人民共和国的设计和制造生产标准或行业标准。</w:t>
      </w:r>
    </w:p>
    <w:p w14:paraId="25CEA2AC">
      <w:pPr>
        <w:ind w:firstLine="560"/>
        <w:jc w:val="left"/>
        <w:rPr>
          <w:rFonts w:ascii="Calibri" w:hAnsi="Calibri"/>
          <w:color w:val="auto"/>
          <w:szCs w:val="21"/>
          <w:highlight w:val="none"/>
        </w:rPr>
      </w:pPr>
      <w:r>
        <w:rPr>
          <w:rFonts w:ascii="Calibri" w:hAnsi="Calibri"/>
          <w:color w:val="auto"/>
          <w:szCs w:val="21"/>
          <w:highlight w:val="none"/>
        </w:rPr>
        <w:t>2、乙方应保证货物是全新、未使用过的原装合格正品（包括零部件），并完全符合甲方要求的质量、规格和性能的要求。如货物安装或配置了软件的，乙方保证相关软件均为正版软件。</w:t>
      </w:r>
    </w:p>
    <w:p w14:paraId="74B2B070">
      <w:pPr>
        <w:ind w:firstLine="560"/>
        <w:jc w:val="left"/>
        <w:rPr>
          <w:rFonts w:ascii="Calibri" w:hAnsi="Calibri"/>
          <w:color w:val="auto"/>
          <w:szCs w:val="21"/>
          <w:highlight w:val="none"/>
        </w:rPr>
      </w:pPr>
      <w:r>
        <w:rPr>
          <w:rFonts w:ascii="Calibri" w:hAnsi="Calibri"/>
          <w:color w:val="auto"/>
          <w:szCs w:val="21"/>
          <w:highlight w:val="none"/>
        </w:rPr>
        <w:t>3、乙方保证交货时一并提供货物的质量合格凭证或文件。</w:t>
      </w:r>
    </w:p>
    <w:p w14:paraId="1053DA18">
      <w:pPr>
        <w:ind w:firstLine="560"/>
        <w:jc w:val="left"/>
        <w:rPr>
          <w:rFonts w:ascii="Calibri" w:hAnsi="Calibri"/>
          <w:b/>
          <w:color w:val="auto"/>
          <w:szCs w:val="21"/>
          <w:highlight w:val="none"/>
        </w:rPr>
      </w:pPr>
      <w:r>
        <w:rPr>
          <w:rFonts w:ascii="Calibri" w:hAnsi="Calibri"/>
          <w:b/>
          <w:color w:val="auto"/>
          <w:szCs w:val="21"/>
          <w:highlight w:val="none"/>
        </w:rPr>
        <w:t>第五条  交货和验收</w:t>
      </w:r>
    </w:p>
    <w:p w14:paraId="1A5C0830">
      <w:pPr>
        <w:ind w:firstLine="560"/>
        <w:jc w:val="left"/>
        <w:rPr>
          <w:rFonts w:ascii="Calibri" w:hAnsi="Calibri"/>
          <w:color w:val="auto"/>
          <w:szCs w:val="21"/>
          <w:highlight w:val="none"/>
        </w:rPr>
      </w:pPr>
      <w:r>
        <w:rPr>
          <w:rFonts w:ascii="Calibri" w:hAnsi="Calibri"/>
          <w:color w:val="auto"/>
          <w:szCs w:val="21"/>
          <w:highlight w:val="none"/>
        </w:rPr>
        <w:t>1、乙方应按照本合同或招投标文件规定的时间和方式向甲方交付货物，交货地点由甲方指定。因交货产生的费用由乙方自行承担。</w:t>
      </w:r>
    </w:p>
    <w:p w14:paraId="6C99CFA5">
      <w:pPr>
        <w:ind w:firstLine="560"/>
        <w:jc w:val="left"/>
        <w:rPr>
          <w:rFonts w:ascii="Calibri" w:hAnsi="Calibri"/>
          <w:color w:val="auto"/>
          <w:szCs w:val="21"/>
          <w:highlight w:val="none"/>
        </w:rPr>
      </w:pPr>
      <w:r>
        <w:rPr>
          <w:rFonts w:ascii="Calibri" w:hAnsi="Calibri"/>
          <w:color w:val="auto"/>
          <w:szCs w:val="21"/>
          <w:highlight w:val="none"/>
        </w:rPr>
        <w:t>2、乙方交付的货物应当完全符合招投标文件所规定的货物、数量、质量和规格要求。乙方提供的货物不符合招投标文件和合同规定的，甲方有权拒收货物，由此引起的风险，由乙方承担。</w:t>
      </w:r>
    </w:p>
    <w:p w14:paraId="0D83DEF9">
      <w:pPr>
        <w:ind w:firstLine="560"/>
        <w:jc w:val="left"/>
        <w:rPr>
          <w:rFonts w:ascii="Calibri" w:hAnsi="Calibri"/>
          <w:color w:val="auto"/>
          <w:szCs w:val="21"/>
          <w:highlight w:val="none"/>
        </w:rPr>
      </w:pPr>
      <w:r>
        <w:rPr>
          <w:rFonts w:ascii="Calibri" w:hAnsi="Calibri"/>
          <w:color w:val="auto"/>
          <w:szCs w:val="21"/>
          <w:highlight w:val="none"/>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70BA12FC">
      <w:pPr>
        <w:ind w:firstLine="560"/>
        <w:jc w:val="left"/>
        <w:rPr>
          <w:rFonts w:ascii="Calibri" w:hAnsi="Calibri"/>
          <w:color w:val="auto"/>
          <w:szCs w:val="21"/>
          <w:highlight w:val="none"/>
        </w:rPr>
      </w:pPr>
      <w:r>
        <w:rPr>
          <w:rFonts w:ascii="Calibri" w:hAnsi="Calibri"/>
          <w:color w:val="auto"/>
          <w:szCs w:val="21"/>
          <w:highlight w:val="none"/>
        </w:rPr>
        <w:t>4、甲方应当在到货后的</w:t>
      </w:r>
      <w:r>
        <w:rPr>
          <w:rFonts w:ascii="Calibri" w:hAnsi="Calibri"/>
          <w:color w:val="auto"/>
          <w:szCs w:val="21"/>
          <w:highlight w:val="none"/>
          <w:u w:val="single"/>
        </w:rPr>
        <w:t xml:space="preserve">       </w:t>
      </w:r>
      <w:r>
        <w:rPr>
          <w:rFonts w:ascii="Calibri" w:hAnsi="Calibri"/>
          <w:color w:val="auto"/>
          <w:szCs w:val="21"/>
          <w:highlight w:val="none"/>
        </w:rPr>
        <w:t>个工作日内对货物进行验收；需要乙方对货物或系统进行安装调试的，甲方应在货物安装调试完毕后的</w:t>
      </w:r>
      <w:r>
        <w:rPr>
          <w:rFonts w:ascii="Calibri" w:hAnsi="Calibri"/>
          <w:color w:val="auto"/>
          <w:szCs w:val="21"/>
          <w:highlight w:val="none"/>
          <w:u w:val="single"/>
        </w:rPr>
        <w:t xml:space="preserve">       </w:t>
      </w:r>
      <w:r>
        <w:rPr>
          <w:rFonts w:ascii="Calibri" w:hAnsi="Calibri"/>
          <w:color w:val="auto"/>
          <w:szCs w:val="21"/>
          <w:highlight w:val="none"/>
        </w:rPr>
        <w:t>个工作日内进行质量验收。</w:t>
      </w:r>
    </w:p>
    <w:p w14:paraId="20FDE8AD">
      <w:pPr>
        <w:ind w:firstLine="560"/>
        <w:jc w:val="left"/>
        <w:rPr>
          <w:rFonts w:ascii="Calibri" w:hAnsi="Calibri"/>
          <w:b/>
          <w:color w:val="auto"/>
          <w:szCs w:val="21"/>
          <w:highlight w:val="none"/>
        </w:rPr>
      </w:pPr>
      <w:r>
        <w:rPr>
          <w:rFonts w:ascii="Calibri" w:hAnsi="Calibri"/>
          <w:b/>
          <w:color w:val="auto"/>
          <w:szCs w:val="21"/>
          <w:highlight w:val="none"/>
        </w:rPr>
        <w:t>第六条  保修及其他服务</w:t>
      </w:r>
    </w:p>
    <w:p w14:paraId="755E56E6">
      <w:pPr>
        <w:ind w:firstLine="560"/>
        <w:jc w:val="left"/>
        <w:rPr>
          <w:rFonts w:ascii="Calibri" w:hAnsi="Calibri"/>
          <w:color w:val="auto"/>
          <w:szCs w:val="21"/>
          <w:highlight w:val="none"/>
        </w:rPr>
      </w:pPr>
      <w:r>
        <w:rPr>
          <w:rFonts w:ascii="Calibri" w:hAnsi="Calibri"/>
          <w:color w:val="auto"/>
          <w:szCs w:val="21"/>
          <w:highlight w:val="none"/>
        </w:rPr>
        <w:t>1、乙方应按照国家有关法律法规规章和“三包”规定和采购文件的要求及乙方在投标文件的相关承诺提供保修及其他服务。</w:t>
      </w:r>
    </w:p>
    <w:p w14:paraId="72C88AFF">
      <w:pPr>
        <w:ind w:firstLine="560"/>
        <w:jc w:val="left"/>
        <w:rPr>
          <w:rFonts w:ascii="Calibri" w:hAnsi="Calibri"/>
          <w:color w:val="auto"/>
          <w:szCs w:val="21"/>
          <w:highlight w:val="none"/>
        </w:rPr>
      </w:pPr>
      <w:r>
        <w:rPr>
          <w:rFonts w:ascii="Calibri" w:hAnsi="Calibri"/>
          <w:color w:val="auto"/>
          <w:szCs w:val="21"/>
          <w:highlight w:val="none"/>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084890A8">
      <w:pPr>
        <w:ind w:firstLine="560"/>
        <w:jc w:val="left"/>
        <w:rPr>
          <w:rFonts w:ascii="Calibri" w:hAnsi="Calibri"/>
          <w:b/>
          <w:color w:val="auto"/>
          <w:szCs w:val="21"/>
          <w:highlight w:val="none"/>
        </w:rPr>
      </w:pPr>
      <w:r>
        <w:rPr>
          <w:rFonts w:ascii="Calibri" w:hAnsi="Calibri"/>
          <w:b/>
          <w:color w:val="auto"/>
          <w:szCs w:val="21"/>
          <w:highlight w:val="none"/>
        </w:rPr>
        <w:t>第七条  履约保证金</w:t>
      </w:r>
    </w:p>
    <w:p w14:paraId="5A2FED4B">
      <w:pPr>
        <w:ind w:firstLine="560"/>
        <w:jc w:val="left"/>
        <w:rPr>
          <w:rFonts w:ascii="Calibri" w:hAnsi="Calibri"/>
          <w:color w:val="auto"/>
          <w:szCs w:val="21"/>
          <w:highlight w:val="none"/>
        </w:rPr>
      </w:pPr>
      <w:r>
        <w:rPr>
          <w:rFonts w:ascii="Calibri" w:hAnsi="Calibri"/>
          <w:color w:val="auto"/>
          <w:szCs w:val="21"/>
          <w:highlight w:val="none"/>
        </w:rPr>
        <w:t>1、乙方应在签订本合同之日，向甲方或甲方指定的机构提交履约保证金_________元。</w:t>
      </w:r>
    </w:p>
    <w:p w14:paraId="5A9CEEF8">
      <w:pPr>
        <w:ind w:firstLine="560"/>
        <w:jc w:val="left"/>
        <w:rPr>
          <w:rFonts w:ascii="Calibri" w:hAnsi="Calibri"/>
          <w:color w:val="auto"/>
          <w:szCs w:val="21"/>
          <w:highlight w:val="none"/>
        </w:rPr>
      </w:pPr>
      <w:r>
        <w:rPr>
          <w:rFonts w:ascii="Calibri" w:hAnsi="Calibri"/>
          <w:color w:val="auto"/>
          <w:szCs w:val="21"/>
          <w:highlight w:val="none"/>
        </w:rPr>
        <w:t>2、如乙方未能履行合同规定的义务，甲方有权从履约保证金中取得补偿。</w:t>
      </w:r>
    </w:p>
    <w:p w14:paraId="5EF1DCAF">
      <w:pPr>
        <w:ind w:firstLine="560"/>
        <w:jc w:val="left"/>
        <w:rPr>
          <w:rFonts w:ascii="Calibri" w:hAnsi="Calibri"/>
          <w:color w:val="auto"/>
          <w:szCs w:val="21"/>
          <w:highlight w:val="none"/>
        </w:rPr>
      </w:pPr>
      <w:r>
        <w:rPr>
          <w:rFonts w:ascii="Calibri" w:hAnsi="Calibri"/>
          <w:color w:val="auto"/>
          <w:szCs w:val="21"/>
          <w:highlight w:val="none"/>
        </w:rPr>
        <w:t>3、甲方在乙方履行完毕本合同项下全部义务后______天内无息退还乙方。</w:t>
      </w:r>
    </w:p>
    <w:p w14:paraId="1C910C04">
      <w:pPr>
        <w:ind w:firstLine="560"/>
        <w:jc w:val="left"/>
        <w:rPr>
          <w:rFonts w:ascii="Calibri" w:hAnsi="Calibri"/>
          <w:b/>
          <w:color w:val="auto"/>
          <w:szCs w:val="21"/>
          <w:highlight w:val="none"/>
        </w:rPr>
      </w:pPr>
      <w:r>
        <w:rPr>
          <w:rFonts w:ascii="Calibri" w:hAnsi="Calibri"/>
          <w:b/>
          <w:color w:val="auto"/>
          <w:szCs w:val="21"/>
          <w:highlight w:val="none"/>
        </w:rPr>
        <w:t>第八条   货款支付</w:t>
      </w:r>
    </w:p>
    <w:p w14:paraId="4B7A6C33">
      <w:pPr>
        <w:ind w:firstLine="560"/>
        <w:jc w:val="left"/>
        <w:rPr>
          <w:rFonts w:ascii="Calibri" w:hAnsi="Calibri"/>
          <w:b/>
          <w:color w:val="auto"/>
          <w:szCs w:val="21"/>
          <w:highlight w:val="none"/>
        </w:rPr>
      </w:pPr>
      <w:r>
        <w:rPr>
          <w:rFonts w:ascii="Calibri" w:hAnsi="Calibri"/>
          <w:b/>
          <w:color w:val="auto"/>
          <w:szCs w:val="21"/>
          <w:highlight w:val="none"/>
        </w:rPr>
        <w:t>第九条   违约责任</w:t>
      </w:r>
    </w:p>
    <w:p w14:paraId="5993F20D">
      <w:pPr>
        <w:ind w:firstLine="560"/>
        <w:jc w:val="left"/>
        <w:rPr>
          <w:rFonts w:ascii="Calibri" w:hAnsi="Calibri"/>
          <w:color w:val="auto"/>
          <w:szCs w:val="21"/>
          <w:highlight w:val="none"/>
        </w:rPr>
      </w:pPr>
      <w:r>
        <w:rPr>
          <w:rFonts w:ascii="Calibri" w:hAnsi="Calibri"/>
          <w:color w:val="auto"/>
          <w:szCs w:val="21"/>
          <w:highlight w:val="none"/>
        </w:rPr>
        <w:t>１、甲方无正当理由拒收货物、拒付货物款的，由甲方向乙方偿付合同总价的【】%违约金。</w:t>
      </w:r>
    </w:p>
    <w:p w14:paraId="56DA0E3F">
      <w:pPr>
        <w:ind w:firstLine="560"/>
        <w:jc w:val="left"/>
        <w:rPr>
          <w:rFonts w:ascii="Calibri" w:hAnsi="Calibri"/>
          <w:color w:val="auto"/>
          <w:szCs w:val="21"/>
          <w:highlight w:val="none"/>
        </w:rPr>
      </w:pPr>
      <w:r>
        <w:rPr>
          <w:rFonts w:ascii="Calibri" w:hAnsi="Calibri"/>
          <w:color w:val="auto"/>
          <w:szCs w:val="21"/>
          <w:highlight w:val="none"/>
        </w:rPr>
        <w:t>２、甲方未按合同规定的期限向乙方支付货款的，每逾期1天甲方向乙方偿付欠款总额的【】‰滞纳金，但累计滞纳金总额不超过欠款总额的【】% 。</w:t>
      </w:r>
    </w:p>
    <w:p w14:paraId="788896E5">
      <w:pPr>
        <w:ind w:firstLine="560"/>
        <w:jc w:val="left"/>
        <w:rPr>
          <w:rFonts w:ascii="Calibri" w:hAnsi="Calibri"/>
          <w:color w:val="auto"/>
          <w:szCs w:val="21"/>
          <w:highlight w:val="none"/>
        </w:rPr>
      </w:pPr>
      <w:r>
        <w:rPr>
          <w:rFonts w:ascii="Calibri" w:hAnsi="Calibri"/>
          <w:color w:val="auto"/>
          <w:szCs w:val="21"/>
          <w:highlight w:val="none"/>
        </w:rPr>
        <w:t>３、乙方逾期交付货物的，每逾期1天，乙方向甲方偿付逾期交货部分货款总额的【】‰的滞纳金。如乙方逾期交货达</w:t>
      </w:r>
      <w:r>
        <w:rPr>
          <w:rFonts w:ascii="Calibri" w:hAnsi="Calibri"/>
          <w:color w:val="auto"/>
          <w:szCs w:val="21"/>
          <w:highlight w:val="none"/>
          <w:u w:val="single"/>
        </w:rPr>
        <w:t xml:space="preserve">    </w:t>
      </w:r>
      <w:r>
        <w:rPr>
          <w:rFonts w:ascii="Calibri" w:hAnsi="Calibri"/>
          <w:color w:val="auto"/>
          <w:szCs w:val="21"/>
          <w:highlight w:val="none"/>
        </w:rPr>
        <w:t>天，甲方有权解除合同，履约保证金不予退回，同时乙方应向甲方支付合同总价【】％的违约金。</w:t>
      </w:r>
    </w:p>
    <w:p w14:paraId="57BD3A85">
      <w:pPr>
        <w:ind w:firstLine="560"/>
        <w:jc w:val="left"/>
        <w:rPr>
          <w:rFonts w:ascii="Calibri" w:hAnsi="Calibri"/>
          <w:color w:val="auto"/>
          <w:szCs w:val="21"/>
          <w:highlight w:val="none"/>
        </w:rPr>
      </w:pPr>
      <w:r>
        <w:rPr>
          <w:rFonts w:ascii="Calibri" w:hAnsi="Calibri"/>
          <w:color w:val="auto"/>
          <w:szCs w:val="21"/>
          <w:highlight w:val="none"/>
        </w:rPr>
        <w:t>4、乙方所交付的货物品种、型号、规格不符合合同规定的，甲方有权拒收。甲方拒收的，乙方应向甲方支付货款总额【】%的违约金。</w:t>
      </w:r>
    </w:p>
    <w:p w14:paraId="00C86C28">
      <w:pPr>
        <w:ind w:firstLine="560"/>
        <w:jc w:val="left"/>
        <w:rPr>
          <w:rFonts w:ascii="Calibri" w:hAnsi="Calibri"/>
          <w:color w:val="auto"/>
          <w:szCs w:val="21"/>
          <w:highlight w:val="none"/>
        </w:rPr>
      </w:pPr>
      <w:r>
        <w:rPr>
          <w:rFonts w:ascii="Calibri" w:hAnsi="Calibri"/>
          <w:color w:val="auto"/>
          <w:szCs w:val="21"/>
          <w:highlight w:val="none"/>
        </w:rPr>
        <w:t>5、在乙方承诺的或国家规定的质量保证期内（取两者中最长的期限），如经乙方两次维修或更换，货物仍不能达到合同约定的质量标准，甲方有权退货，乙方应退回全部货款并赔偿甲方因此遭受的损失。</w:t>
      </w:r>
    </w:p>
    <w:p w14:paraId="5A18EEA3">
      <w:pPr>
        <w:ind w:firstLine="560"/>
        <w:jc w:val="left"/>
        <w:rPr>
          <w:rFonts w:ascii="Calibri" w:hAnsi="Calibri"/>
          <w:color w:val="auto"/>
          <w:szCs w:val="21"/>
          <w:highlight w:val="none"/>
        </w:rPr>
      </w:pPr>
      <w:r>
        <w:rPr>
          <w:rFonts w:ascii="Calibri" w:hAnsi="Calibri"/>
          <w:color w:val="auto"/>
          <w:szCs w:val="21"/>
          <w:highlight w:val="none"/>
        </w:rPr>
        <w:t>6、乙方未履行本合同项下的其他义务或违反其在投标文件中的相关承诺的，应按合同总价款的【】%向甲方承担违约责任。</w:t>
      </w:r>
    </w:p>
    <w:p w14:paraId="6EC9BA01">
      <w:pPr>
        <w:ind w:firstLine="560"/>
        <w:jc w:val="left"/>
        <w:rPr>
          <w:rFonts w:ascii="Calibri" w:hAnsi="Calibri"/>
          <w:color w:val="auto"/>
          <w:szCs w:val="21"/>
          <w:highlight w:val="none"/>
        </w:rPr>
      </w:pPr>
      <w:r>
        <w:rPr>
          <w:rFonts w:ascii="Calibri" w:hAnsi="Calibri"/>
          <w:color w:val="auto"/>
          <w:szCs w:val="21"/>
          <w:highlight w:val="none"/>
        </w:rPr>
        <w:t>7、乙方在承担上述一项或多项违约责任后，仍应继续履行合同规定的义务（甲方解除合同的除外）。甲方未能及时追究乙方的任何一项违约责任并不表明甲方放弃追究乙方该项或其他违约责任。</w:t>
      </w:r>
    </w:p>
    <w:p w14:paraId="4347FB94">
      <w:pPr>
        <w:ind w:firstLine="560"/>
        <w:jc w:val="left"/>
        <w:rPr>
          <w:rFonts w:ascii="Calibri" w:hAnsi="Calibri"/>
          <w:b/>
          <w:color w:val="auto"/>
          <w:szCs w:val="21"/>
          <w:highlight w:val="none"/>
        </w:rPr>
      </w:pPr>
      <w:r>
        <w:rPr>
          <w:rFonts w:ascii="Calibri" w:hAnsi="Calibri"/>
          <w:b/>
          <w:color w:val="auto"/>
          <w:szCs w:val="21"/>
          <w:highlight w:val="none"/>
        </w:rPr>
        <w:t>第十条    合同的变更和终止</w:t>
      </w:r>
    </w:p>
    <w:p w14:paraId="1F2DA00D">
      <w:pPr>
        <w:ind w:firstLine="560"/>
        <w:jc w:val="left"/>
        <w:rPr>
          <w:rFonts w:ascii="Calibri" w:hAnsi="Calibri"/>
          <w:color w:val="auto"/>
          <w:szCs w:val="21"/>
          <w:highlight w:val="none"/>
        </w:rPr>
      </w:pPr>
      <w:r>
        <w:rPr>
          <w:rFonts w:ascii="Calibri" w:hAnsi="Calibri"/>
          <w:color w:val="auto"/>
          <w:szCs w:val="21"/>
          <w:highlight w:val="none"/>
        </w:rPr>
        <w:t>除《中华人民共和国政府采购法》第４９条、第５０条第二款规定的情形外，本合同一经签订，甲乙双方不得擅自变更、中止或终止合同。</w:t>
      </w:r>
    </w:p>
    <w:p w14:paraId="2CA96E2E">
      <w:pPr>
        <w:ind w:firstLine="560"/>
        <w:jc w:val="left"/>
        <w:rPr>
          <w:rFonts w:ascii="Calibri" w:hAnsi="Calibri"/>
          <w:b/>
          <w:color w:val="auto"/>
          <w:szCs w:val="21"/>
          <w:highlight w:val="none"/>
        </w:rPr>
      </w:pPr>
      <w:r>
        <w:rPr>
          <w:rFonts w:ascii="Calibri" w:hAnsi="Calibri"/>
          <w:b/>
          <w:color w:val="auto"/>
          <w:szCs w:val="21"/>
          <w:highlight w:val="none"/>
        </w:rPr>
        <w:t>第十一条   争议的解决</w:t>
      </w:r>
    </w:p>
    <w:p w14:paraId="7E758C51">
      <w:pPr>
        <w:ind w:firstLine="560"/>
        <w:jc w:val="left"/>
        <w:rPr>
          <w:rFonts w:ascii="Calibri" w:hAnsi="Calibri"/>
          <w:color w:val="auto"/>
          <w:szCs w:val="21"/>
          <w:highlight w:val="none"/>
        </w:rPr>
      </w:pPr>
      <w:r>
        <w:rPr>
          <w:rFonts w:ascii="Calibri" w:hAnsi="Calibri"/>
          <w:color w:val="auto"/>
          <w:szCs w:val="21"/>
          <w:highlight w:val="none"/>
        </w:rPr>
        <w:t>1、因货物的质量问题发生争议的，应当邀请国家认可的质量检测机构对货物质量进行鉴定。货物符合标准的，鉴定费由甲方承担；货物不符合质量标准的，鉴定费由乙方承担。</w:t>
      </w:r>
    </w:p>
    <w:p w14:paraId="772B4DD5">
      <w:pPr>
        <w:ind w:firstLine="560"/>
        <w:jc w:val="left"/>
        <w:rPr>
          <w:rFonts w:ascii="Calibri" w:hAnsi="Calibri"/>
          <w:color w:val="auto"/>
          <w:szCs w:val="21"/>
          <w:highlight w:val="none"/>
        </w:rPr>
      </w:pPr>
      <w:r>
        <w:rPr>
          <w:rFonts w:ascii="Calibri" w:hAnsi="Calibri"/>
          <w:color w:val="auto"/>
          <w:szCs w:val="21"/>
          <w:highlight w:val="none"/>
        </w:rPr>
        <w:t>2、因履行本合同引起的或与本合同有关的争议，甲、乙双方应首先通过友好协商解决，如果协商不能解决争议，则向甲方所在地有管辖权的人民法院提起诉讼；</w:t>
      </w:r>
    </w:p>
    <w:p w14:paraId="30DB83D8">
      <w:pPr>
        <w:ind w:firstLine="560"/>
        <w:jc w:val="left"/>
        <w:rPr>
          <w:rFonts w:ascii="Calibri" w:hAnsi="Calibri"/>
          <w:b/>
          <w:color w:val="auto"/>
          <w:szCs w:val="21"/>
          <w:highlight w:val="none"/>
        </w:rPr>
      </w:pPr>
      <w:r>
        <w:rPr>
          <w:rFonts w:ascii="Calibri" w:hAnsi="Calibri"/>
          <w:b/>
          <w:color w:val="auto"/>
          <w:szCs w:val="21"/>
          <w:highlight w:val="none"/>
        </w:rPr>
        <w:t>第十二条   合同生效及其他</w:t>
      </w:r>
    </w:p>
    <w:p w14:paraId="51FD1DD7">
      <w:pPr>
        <w:ind w:firstLine="560"/>
        <w:jc w:val="left"/>
        <w:rPr>
          <w:rFonts w:ascii="Calibri" w:hAnsi="Calibri"/>
          <w:color w:val="auto"/>
          <w:szCs w:val="21"/>
          <w:highlight w:val="none"/>
        </w:rPr>
      </w:pPr>
      <w:r>
        <w:rPr>
          <w:rFonts w:ascii="Calibri" w:hAnsi="Calibri"/>
          <w:color w:val="auto"/>
          <w:szCs w:val="21"/>
          <w:highlight w:val="none"/>
        </w:rPr>
        <w:t>1、下列文件均为本合同的组成部分：</w:t>
      </w:r>
    </w:p>
    <w:p w14:paraId="6988CFC1">
      <w:pPr>
        <w:ind w:firstLine="560"/>
        <w:jc w:val="left"/>
        <w:rPr>
          <w:rFonts w:ascii="Calibri" w:hAnsi="Calibri"/>
          <w:color w:val="auto"/>
          <w:szCs w:val="21"/>
          <w:highlight w:val="none"/>
        </w:rPr>
      </w:pPr>
      <w:r>
        <w:rPr>
          <w:rFonts w:ascii="Calibri" w:hAnsi="Calibri"/>
          <w:color w:val="auto"/>
          <w:szCs w:val="21"/>
          <w:highlight w:val="none"/>
        </w:rPr>
        <w:t>（1）</w:t>
      </w:r>
      <w:r>
        <w:rPr>
          <w:rFonts w:ascii="Calibri" w:hAnsi="Calibri"/>
          <w:color w:val="auto"/>
          <w:szCs w:val="21"/>
          <w:highlight w:val="none"/>
          <w:u w:val="single"/>
        </w:rPr>
        <w:t xml:space="preserve">         </w:t>
      </w:r>
      <w:r>
        <w:rPr>
          <w:rFonts w:ascii="Calibri" w:hAnsi="Calibri"/>
          <w:color w:val="auto"/>
          <w:szCs w:val="21"/>
          <w:highlight w:val="none"/>
        </w:rPr>
        <w:t>号采购文件、答疑及补充通知；</w:t>
      </w:r>
    </w:p>
    <w:p w14:paraId="6E91866D">
      <w:pPr>
        <w:ind w:firstLine="560"/>
        <w:jc w:val="left"/>
        <w:rPr>
          <w:rFonts w:ascii="Calibri" w:hAnsi="Calibri"/>
          <w:color w:val="auto"/>
          <w:szCs w:val="21"/>
          <w:highlight w:val="none"/>
        </w:rPr>
      </w:pPr>
      <w:r>
        <w:rPr>
          <w:rFonts w:ascii="Calibri" w:hAnsi="Calibri"/>
          <w:color w:val="auto"/>
          <w:szCs w:val="21"/>
          <w:highlight w:val="none"/>
        </w:rPr>
        <w:t>（2）乙方的投标文件；</w:t>
      </w:r>
    </w:p>
    <w:p w14:paraId="4E0FDB03">
      <w:pPr>
        <w:ind w:firstLine="560"/>
        <w:jc w:val="left"/>
        <w:rPr>
          <w:rFonts w:ascii="Calibri" w:hAnsi="Calibri"/>
          <w:color w:val="auto"/>
          <w:szCs w:val="21"/>
          <w:highlight w:val="none"/>
        </w:rPr>
      </w:pPr>
      <w:r>
        <w:rPr>
          <w:rFonts w:ascii="Calibri" w:hAnsi="Calibri"/>
          <w:color w:val="auto"/>
          <w:szCs w:val="21"/>
          <w:highlight w:val="none"/>
        </w:rPr>
        <w:t>（3）本合同执行中甲乙双方共同签署的补充与修正文件。</w:t>
      </w:r>
    </w:p>
    <w:p w14:paraId="0A41B9DB">
      <w:pPr>
        <w:ind w:firstLine="560"/>
        <w:jc w:val="left"/>
        <w:rPr>
          <w:rFonts w:ascii="Calibri" w:hAnsi="Calibri"/>
          <w:color w:val="auto"/>
          <w:szCs w:val="21"/>
          <w:highlight w:val="none"/>
        </w:rPr>
      </w:pPr>
      <w:r>
        <w:rPr>
          <w:rFonts w:ascii="Calibri" w:hAnsi="Calibri"/>
          <w:color w:val="auto"/>
          <w:szCs w:val="21"/>
          <w:highlight w:val="none"/>
        </w:rPr>
        <w:t>2、本合同一式</w:t>
      </w:r>
      <w:r>
        <w:rPr>
          <w:rFonts w:ascii="Calibri" w:hAnsi="Calibri"/>
          <w:color w:val="auto"/>
          <w:szCs w:val="21"/>
          <w:highlight w:val="none"/>
          <w:u w:val="single"/>
        </w:rPr>
        <w:t xml:space="preserve">     </w:t>
      </w:r>
      <w:r>
        <w:rPr>
          <w:rFonts w:ascii="Calibri" w:hAnsi="Calibri"/>
          <w:color w:val="auto"/>
          <w:szCs w:val="21"/>
          <w:highlight w:val="none"/>
        </w:rPr>
        <w:t>份，甲、乙方双方各执</w:t>
      </w:r>
      <w:r>
        <w:rPr>
          <w:rFonts w:ascii="Calibri" w:hAnsi="Calibri"/>
          <w:color w:val="auto"/>
          <w:szCs w:val="21"/>
          <w:highlight w:val="none"/>
          <w:u w:val="single"/>
        </w:rPr>
        <w:t xml:space="preserve">     </w:t>
      </w:r>
      <w:r>
        <w:rPr>
          <w:rFonts w:ascii="Calibri" w:hAnsi="Calibri"/>
          <w:color w:val="auto"/>
          <w:szCs w:val="21"/>
          <w:highlight w:val="none"/>
        </w:rPr>
        <w:t>份，具有同等法律效力。本合同自双方法定代表人（或授权代表）签字并盖章之日起生效。</w:t>
      </w:r>
    </w:p>
    <w:p w14:paraId="754A1B8D">
      <w:pPr>
        <w:ind w:firstLine="560"/>
        <w:jc w:val="left"/>
        <w:rPr>
          <w:rFonts w:ascii="Calibri" w:hAnsi="Calibri"/>
          <w:color w:val="auto"/>
          <w:szCs w:val="21"/>
          <w:highlight w:val="none"/>
        </w:rPr>
      </w:pPr>
      <w:r>
        <w:rPr>
          <w:rFonts w:ascii="Calibri" w:hAnsi="Calibri"/>
          <w:color w:val="auto"/>
          <w:szCs w:val="21"/>
          <w:highlight w:val="none"/>
        </w:rPr>
        <w:t>甲方（采购人）：   （盖章）       乙方（供应商）：    （盖章）</w:t>
      </w:r>
    </w:p>
    <w:p w14:paraId="5144837E">
      <w:pPr>
        <w:ind w:firstLine="560"/>
        <w:jc w:val="left"/>
        <w:rPr>
          <w:rFonts w:ascii="Calibri" w:hAnsi="Calibri"/>
          <w:color w:val="auto"/>
          <w:szCs w:val="21"/>
          <w:highlight w:val="none"/>
        </w:rPr>
      </w:pPr>
      <w:r>
        <w:rPr>
          <w:rFonts w:ascii="Calibri" w:hAnsi="Calibri"/>
          <w:color w:val="auto"/>
          <w:szCs w:val="21"/>
          <w:highlight w:val="none"/>
        </w:rPr>
        <w:t xml:space="preserve">法定代表人：                     法定代表人： </w:t>
      </w:r>
    </w:p>
    <w:p w14:paraId="1E6B03BC">
      <w:pPr>
        <w:ind w:firstLine="560"/>
        <w:jc w:val="left"/>
        <w:rPr>
          <w:rFonts w:ascii="Calibri" w:hAnsi="Calibri"/>
          <w:color w:val="auto"/>
          <w:szCs w:val="21"/>
          <w:highlight w:val="none"/>
        </w:rPr>
      </w:pPr>
      <w:r>
        <w:rPr>
          <w:rFonts w:ascii="Calibri" w:hAnsi="Calibri"/>
          <w:color w:val="auto"/>
          <w:szCs w:val="21"/>
          <w:highlight w:val="none"/>
        </w:rPr>
        <w:t>委托代理人：                     委托代理人：</w:t>
      </w:r>
    </w:p>
    <w:p w14:paraId="75269080">
      <w:pPr>
        <w:ind w:firstLine="525" w:firstLineChars="250"/>
        <w:rPr>
          <w:color w:val="auto"/>
          <w:highlight w:val="none"/>
        </w:rPr>
      </w:pPr>
      <w:r>
        <w:rPr>
          <w:rFonts w:ascii="Calibri" w:hAnsi="Calibri"/>
          <w:color w:val="auto"/>
          <w:szCs w:val="21"/>
          <w:highlight w:val="none"/>
        </w:rPr>
        <w:t>日期：   年     月    日         日期：   年     月    日</w:t>
      </w:r>
    </w:p>
    <w:p w14:paraId="3F87C35C">
      <w:pPr>
        <w:pStyle w:val="2"/>
        <w:numPr>
          <w:ilvl w:val="0"/>
          <w:numId w:val="11"/>
        </w:numPr>
        <w:rPr>
          <w:rFonts w:ascii="宋体" w:hAnsi="宋体" w:cs="宋体"/>
          <w:b/>
          <w:color w:val="auto"/>
          <w:kern w:val="0"/>
          <w:sz w:val="24"/>
          <w:highlight w:val="none"/>
        </w:rPr>
      </w:pPr>
      <w:r>
        <w:rPr>
          <w:rFonts w:hint="eastAsia" w:ascii="宋体" w:hAnsi="宋体" w:cs="宋体"/>
          <w:b/>
          <w:color w:val="auto"/>
          <w:kern w:val="0"/>
          <w:sz w:val="24"/>
          <w:highlight w:val="none"/>
        </w:rPr>
        <w:t>政府采购履约情况反馈表</w:t>
      </w:r>
    </w:p>
    <w:p w14:paraId="0ACA5FAB">
      <w:pPr>
        <w:rPr>
          <w:rFonts w:ascii="宋体" w:hAnsi="宋体" w:cs="宋体"/>
          <w:color w:val="auto"/>
          <w:highlight w:val="none"/>
        </w:rPr>
      </w:pPr>
    </w:p>
    <w:p w14:paraId="147C570B">
      <w:pPr>
        <w:spacing w:line="240" w:lineRule="atLeast"/>
        <w:rPr>
          <w:rFonts w:ascii="宋体" w:hAnsi="宋体" w:cs="宋体"/>
          <w:b/>
          <w:color w:val="auto"/>
          <w:szCs w:val="21"/>
          <w:highlight w:val="none"/>
        </w:rPr>
      </w:pPr>
      <w:r>
        <w:rPr>
          <w:rFonts w:hint="eastAsia" w:ascii="宋体" w:hAnsi="宋体" w:cs="宋体"/>
          <w:b/>
          <w:color w:val="auto"/>
          <w:szCs w:val="21"/>
          <w:highlight w:val="none"/>
        </w:rPr>
        <w:t>采购单位名称：                       联系人及电话：</w:t>
      </w:r>
    </w:p>
    <w:p w14:paraId="1D64ED0D">
      <w:pPr>
        <w:spacing w:line="60" w:lineRule="exact"/>
        <w:rPr>
          <w:rFonts w:ascii="宋体" w:hAnsi="宋体" w:cs="宋体"/>
          <w:b/>
          <w:color w:val="auto"/>
          <w:szCs w:val="21"/>
          <w:highlight w:val="none"/>
        </w:rPr>
      </w:pPr>
    </w:p>
    <w:tbl>
      <w:tblPr>
        <w:tblStyle w:val="43"/>
        <w:tblW w:w="8666"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42"/>
        <w:gridCol w:w="720"/>
        <w:gridCol w:w="720"/>
        <w:gridCol w:w="2520"/>
        <w:gridCol w:w="1980"/>
        <w:gridCol w:w="1884"/>
      </w:tblGrid>
      <w:tr w14:paraId="75D674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14:paraId="2B2F9AC9">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采购项目名称</w:t>
            </w:r>
          </w:p>
        </w:tc>
        <w:tc>
          <w:tcPr>
            <w:tcW w:w="2520" w:type="dxa"/>
            <w:vAlign w:val="center"/>
          </w:tcPr>
          <w:p w14:paraId="00DC13F0">
            <w:pPr>
              <w:spacing w:line="240" w:lineRule="atLeast"/>
              <w:jc w:val="center"/>
              <w:rPr>
                <w:rFonts w:ascii="宋体" w:hAnsi="宋体" w:cs="宋体"/>
                <w:color w:val="auto"/>
                <w:szCs w:val="21"/>
                <w:highlight w:val="none"/>
              </w:rPr>
            </w:pPr>
          </w:p>
        </w:tc>
        <w:tc>
          <w:tcPr>
            <w:tcW w:w="1980" w:type="dxa"/>
            <w:vAlign w:val="center"/>
          </w:tcPr>
          <w:p w14:paraId="54054A53">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项目编号</w:t>
            </w:r>
          </w:p>
        </w:tc>
        <w:tc>
          <w:tcPr>
            <w:tcW w:w="1884" w:type="dxa"/>
            <w:vAlign w:val="center"/>
          </w:tcPr>
          <w:p w14:paraId="3ADA38D1">
            <w:pPr>
              <w:spacing w:line="240" w:lineRule="atLeast"/>
              <w:jc w:val="center"/>
              <w:rPr>
                <w:rFonts w:ascii="宋体" w:hAnsi="宋体" w:cs="宋体"/>
                <w:color w:val="auto"/>
                <w:szCs w:val="21"/>
                <w:highlight w:val="none"/>
              </w:rPr>
            </w:pPr>
          </w:p>
        </w:tc>
      </w:tr>
      <w:tr w14:paraId="1D6780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2282" w:type="dxa"/>
            <w:gridSpan w:val="3"/>
            <w:vAlign w:val="center"/>
          </w:tcPr>
          <w:p w14:paraId="5B87FA6B">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中标供应商名称</w:t>
            </w:r>
          </w:p>
        </w:tc>
        <w:tc>
          <w:tcPr>
            <w:tcW w:w="2520" w:type="dxa"/>
            <w:vAlign w:val="center"/>
          </w:tcPr>
          <w:p w14:paraId="516CDE4E">
            <w:pPr>
              <w:spacing w:line="240" w:lineRule="atLeast"/>
              <w:jc w:val="center"/>
              <w:rPr>
                <w:rFonts w:ascii="宋体" w:hAnsi="宋体" w:cs="宋体"/>
                <w:color w:val="auto"/>
                <w:szCs w:val="21"/>
                <w:highlight w:val="none"/>
              </w:rPr>
            </w:pPr>
          </w:p>
        </w:tc>
        <w:tc>
          <w:tcPr>
            <w:tcW w:w="1980" w:type="dxa"/>
            <w:vAlign w:val="center"/>
          </w:tcPr>
          <w:p w14:paraId="273C3FF6">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供应商</w:t>
            </w:r>
          </w:p>
          <w:p w14:paraId="45D8BE1C">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联系人及电话</w:t>
            </w:r>
          </w:p>
        </w:tc>
        <w:tc>
          <w:tcPr>
            <w:tcW w:w="1884" w:type="dxa"/>
            <w:vAlign w:val="center"/>
          </w:tcPr>
          <w:p w14:paraId="01EAE02E">
            <w:pPr>
              <w:spacing w:line="240" w:lineRule="atLeast"/>
              <w:jc w:val="center"/>
              <w:rPr>
                <w:rFonts w:ascii="宋体" w:hAnsi="宋体" w:cs="宋体"/>
                <w:color w:val="auto"/>
                <w:szCs w:val="21"/>
                <w:highlight w:val="none"/>
              </w:rPr>
            </w:pPr>
          </w:p>
        </w:tc>
      </w:tr>
      <w:tr w14:paraId="12643B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2282" w:type="dxa"/>
            <w:gridSpan w:val="3"/>
            <w:vAlign w:val="center"/>
          </w:tcPr>
          <w:p w14:paraId="6266E27F">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中标金额</w:t>
            </w:r>
          </w:p>
        </w:tc>
        <w:tc>
          <w:tcPr>
            <w:tcW w:w="2520" w:type="dxa"/>
            <w:vAlign w:val="center"/>
          </w:tcPr>
          <w:p w14:paraId="67BE81D1">
            <w:pPr>
              <w:spacing w:line="240" w:lineRule="atLeast"/>
              <w:jc w:val="center"/>
              <w:rPr>
                <w:rFonts w:ascii="宋体" w:hAnsi="宋体" w:cs="宋体"/>
                <w:color w:val="auto"/>
                <w:szCs w:val="21"/>
                <w:highlight w:val="none"/>
              </w:rPr>
            </w:pPr>
          </w:p>
        </w:tc>
        <w:tc>
          <w:tcPr>
            <w:tcW w:w="1980" w:type="dxa"/>
            <w:vAlign w:val="center"/>
          </w:tcPr>
          <w:p w14:paraId="6C87E71B">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合同履约时间</w:t>
            </w:r>
          </w:p>
        </w:tc>
        <w:tc>
          <w:tcPr>
            <w:tcW w:w="1884" w:type="dxa"/>
            <w:vAlign w:val="center"/>
          </w:tcPr>
          <w:p w14:paraId="34BF659A">
            <w:pPr>
              <w:spacing w:line="240" w:lineRule="atLeast"/>
              <w:rPr>
                <w:rFonts w:ascii="宋体" w:hAnsi="宋体" w:cs="宋体"/>
                <w:color w:val="auto"/>
                <w:szCs w:val="21"/>
                <w:highlight w:val="none"/>
              </w:rPr>
            </w:pPr>
            <w:r>
              <w:rPr>
                <w:rFonts w:hint="eastAsia" w:ascii="宋体" w:hAnsi="宋体" w:cs="宋体"/>
                <w:color w:val="auto"/>
                <w:szCs w:val="21"/>
                <w:highlight w:val="none"/>
              </w:rPr>
              <w:t>自       至</w:t>
            </w:r>
          </w:p>
        </w:tc>
      </w:tr>
      <w:tr w14:paraId="44C527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842" w:type="dxa"/>
            <w:vMerge w:val="restart"/>
            <w:vAlign w:val="center"/>
          </w:tcPr>
          <w:p w14:paraId="11CEEE21">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履约情况评价</w:t>
            </w:r>
          </w:p>
        </w:tc>
        <w:tc>
          <w:tcPr>
            <w:tcW w:w="1440" w:type="dxa"/>
            <w:gridSpan w:val="2"/>
            <w:tcBorders>
              <w:right w:val="single" w:color="auto" w:sz="4" w:space="0"/>
            </w:tcBorders>
            <w:vAlign w:val="center"/>
          </w:tcPr>
          <w:p w14:paraId="6E5A03CB">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总体评价</w:t>
            </w:r>
          </w:p>
        </w:tc>
        <w:tc>
          <w:tcPr>
            <w:tcW w:w="6384" w:type="dxa"/>
            <w:gridSpan w:val="3"/>
            <w:tcBorders>
              <w:left w:val="single" w:color="auto" w:sz="4" w:space="0"/>
            </w:tcBorders>
            <w:vAlign w:val="center"/>
          </w:tcPr>
          <w:p w14:paraId="0ED281A3">
            <w:pPr>
              <w:spacing w:line="240" w:lineRule="atLeast"/>
              <w:ind w:firstLine="105" w:firstLineChars="50"/>
              <w:jc w:val="center"/>
              <w:rPr>
                <w:rFonts w:ascii="宋体" w:hAnsi="宋体" w:cs="宋体"/>
                <w:color w:val="auto"/>
                <w:szCs w:val="21"/>
                <w:highlight w:val="none"/>
              </w:rPr>
            </w:pPr>
            <w:r>
              <w:rPr>
                <w:rFonts w:hint="eastAsia" w:ascii="宋体" w:hAnsi="宋体" w:cs="宋体"/>
                <w:color w:val="auto"/>
                <w:szCs w:val="21"/>
                <w:highlight w:val="none"/>
              </w:rPr>
              <w:t>□ 优          □ 良          □ 中           □ 差</w:t>
            </w:r>
          </w:p>
        </w:tc>
      </w:tr>
      <w:tr w14:paraId="63FFFAE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5D207B89">
            <w:pPr>
              <w:spacing w:line="240" w:lineRule="atLeast"/>
              <w:jc w:val="center"/>
              <w:rPr>
                <w:rFonts w:ascii="宋体" w:hAnsi="宋体" w:cs="宋体"/>
                <w:color w:val="auto"/>
                <w:szCs w:val="21"/>
                <w:highlight w:val="none"/>
              </w:rPr>
            </w:pPr>
          </w:p>
        </w:tc>
        <w:tc>
          <w:tcPr>
            <w:tcW w:w="720" w:type="dxa"/>
            <w:vMerge w:val="restart"/>
            <w:tcBorders>
              <w:right w:val="single" w:color="auto" w:sz="4" w:space="0"/>
            </w:tcBorders>
            <w:vAlign w:val="center"/>
          </w:tcPr>
          <w:p w14:paraId="191897DC">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分项评价</w:t>
            </w:r>
          </w:p>
        </w:tc>
        <w:tc>
          <w:tcPr>
            <w:tcW w:w="720" w:type="dxa"/>
            <w:tcBorders>
              <w:left w:val="single" w:color="auto" w:sz="4" w:space="0"/>
              <w:right w:val="single" w:color="auto" w:sz="4" w:space="0"/>
            </w:tcBorders>
            <w:vAlign w:val="center"/>
          </w:tcPr>
          <w:p w14:paraId="575ACED9">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质量方面</w:t>
            </w:r>
          </w:p>
        </w:tc>
        <w:tc>
          <w:tcPr>
            <w:tcW w:w="6384" w:type="dxa"/>
            <w:gridSpan w:val="3"/>
            <w:tcBorders>
              <w:left w:val="single" w:color="auto" w:sz="4" w:space="0"/>
            </w:tcBorders>
            <w:vAlign w:val="center"/>
          </w:tcPr>
          <w:p w14:paraId="53D32C19">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 xml:space="preserve"> □ 优          □ 良          □ 中           □ 差</w:t>
            </w:r>
          </w:p>
        </w:tc>
      </w:tr>
      <w:tr w14:paraId="4D1B3B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16F8B7B1">
            <w:pPr>
              <w:spacing w:line="240" w:lineRule="atLeast"/>
              <w:jc w:val="center"/>
              <w:rPr>
                <w:rFonts w:ascii="宋体" w:hAnsi="宋体" w:cs="宋体"/>
                <w:color w:val="auto"/>
                <w:szCs w:val="21"/>
                <w:highlight w:val="none"/>
              </w:rPr>
            </w:pPr>
          </w:p>
        </w:tc>
        <w:tc>
          <w:tcPr>
            <w:tcW w:w="720" w:type="dxa"/>
            <w:vMerge w:val="continue"/>
            <w:tcBorders>
              <w:right w:val="single" w:color="auto" w:sz="4" w:space="0"/>
            </w:tcBorders>
            <w:vAlign w:val="center"/>
          </w:tcPr>
          <w:p w14:paraId="31735FB7">
            <w:pPr>
              <w:spacing w:line="240" w:lineRule="atLeast"/>
              <w:jc w:val="center"/>
              <w:rPr>
                <w:rFonts w:ascii="宋体" w:hAnsi="宋体" w:cs="宋体"/>
                <w:color w:val="auto"/>
                <w:szCs w:val="21"/>
                <w:highlight w:val="none"/>
              </w:rPr>
            </w:pPr>
          </w:p>
        </w:tc>
        <w:tc>
          <w:tcPr>
            <w:tcW w:w="720" w:type="dxa"/>
            <w:tcBorders>
              <w:left w:val="single" w:color="auto" w:sz="4" w:space="0"/>
              <w:right w:val="single" w:color="auto" w:sz="4" w:space="0"/>
            </w:tcBorders>
            <w:vAlign w:val="center"/>
          </w:tcPr>
          <w:p w14:paraId="50343E3A">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价格方面</w:t>
            </w:r>
          </w:p>
        </w:tc>
        <w:tc>
          <w:tcPr>
            <w:tcW w:w="6384" w:type="dxa"/>
            <w:gridSpan w:val="3"/>
            <w:tcBorders>
              <w:left w:val="single" w:color="auto" w:sz="4" w:space="0"/>
            </w:tcBorders>
            <w:vAlign w:val="center"/>
          </w:tcPr>
          <w:p w14:paraId="0B8D0B44">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 xml:space="preserve"> □ 优          □ 良          □ 中           □ 差</w:t>
            </w:r>
          </w:p>
        </w:tc>
      </w:tr>
      <w:tr w14:paraId="400902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66C6ADDC">
            <w:pPr>
              <w:spacing w:line="240" w:lineRule="atLeast"/>
              <w:jc w:val="center"/>
              <w:rPr>
                <w:rFonts w:ascii="宋体" w:hAnsi="宋体" w:cs="宋体"/>
                <w:color w:val="auto"/>
                <w:szCs w:val="21"/>
                <w:highlight w:val="none"/>
              </w:rPr>
            </w:pPr>
          </w:p>
        </w:tc>
        <w:tc>
          <w:tcPr>
            <w:tcW w:w="720" w:type="dxa"/>
            <w:vMerge w:val="continue"/>
            <w:tcBorders>
              <w:right w:val="single" w:color="auto" w:sz="4" w:space="0"/>
            </w:tcBorders>
            <w:vAlign w:val="center"/>
          </w:tcPr>
          <w:p w14:paraId="3EA9A7F0">
            <w:pPr>
              <w:spacing w:line="240" w:lineRule="atLeast"/>
              <w:jc w:val="center"/>
              <w:rPr>
                <w:rFonts w:ascii="宋体" w:hAnsi="宋体" w:cs="宋体"/>
                <w:color w:val="auto"/>
                <w:szCs w:val="21"/>
                <w:highlight w:val="none"/>
              </w:rPr>
            </w:pPr>
          </w:p>
        </w:tc>
        <w:tc>
          <w:tcPr>
            <w:tcW w:w="720" w:type="dxa"/>
            <w:tcBorders>
              <w:left w:val="single" w:color="auto" w:sz="4" w:space="0"/>
              <w:right w:val="single" w:color="auto" w:sz="4" w:space="0"/>
            </w:tcBorders>
            <w:vAlign w:val="center"/>
          </w:tcPr>
          <w:p w14:paraId="62D93CC5">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服务方面</w:t>
            </w:r>
          </w:p>
        </w:tc>
        <w:tc>
          <w:tcPr>
            <w:tcW w:w="6384" w:type="dxa"/>
            <w:gridSpan w:val="3"/>
            <w:tcBorders>
              <w:left w:val="single" w:color="auto" w:sz="4" w:space="0"/>
            </w:tcBorders>
            <w:vAlign w:val="center"/>
          </w:tcPr>
          <w:p w14:paraId="5ECC5C11">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 xml:space="preserve"> □ 优          □ 良          □ 中           □ 差</w:t>
            </w:r>
          </w:p>
        </w:tc>
      </w:tr>
      <w:tr w14:paraId="5D00C6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1740AAF6">
            <w:pPr>
              <w:spacing w:line="240" w:lineRule="atLeast"/>
              <w:jc w:val="center"/>
              <w:rPr>
                <w:rFonts w:ascii="宋体" w:hAnsi="宋体" w:cs="宋体"/>
                <w:color w:val="auto"/>
                <w:szCs w:val="21"/>
                <w:highlight w:val="none"/>
              </w:rPr>
            </w:pPr>
          </w:p>
        </w:tc>
        <w:tc>
          <w:tcPr>
            <w:tcW w:w="720" w:type="dxa"/>
            <w:vMerge w:val="continue"/>
            <w:tcBorders>
              <w:right w:val="single" w:color="auto" w:sz="4" w:space="0"/>
            </w:tcBorders>
            <w:vAlign w:val="center"/>
          </w:tcPr>
          <w:p w14:paraId="1D5387E5">
            <w:pPr>
              <w:spacing w:line="240" w:lineRule="atLeast"/>
              <w:jc w:val="center"/>
              <w:rPr>
                <w:rFonts w:ascii="宋体" w:hAnsi="宋体" w:cs="宋体"/>
                <w:color w:val="auto"/>
                <w:szCs w:val="21"/>
                <w:highlight w:val="none"/>
              </w:rPr>
            </w:pPr>
          </w:p>
        </w:tc>
        <w:tc>
          <w:tcPr>
            <w:tcW w:w="720" w:type="dxa"/>
            <w:tcBorders>
              <w:left w:val="single" w:color="auto" w:sz="4" w:space="0"/>
              <w:right w:val="single" w:color="auto" w:sz="4" w:space="0"/>
            </w:tcBorders>
            <w:vAlign w:val="center"/>
          </w:tcPr>
          <w:p w14:paraId="7E9EC2B4">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时间方面</w:t>
            </w:r>
          </w:p>
        </w:tc>
        <w:tc>
          <w:tcPr>
            <w:tcW w:w="6384" w:type="dxa"/>
            <w:gridSpan w:val="3"/>
            <w:tcBorders>
              <w:left w:val="single" w:color="auto" w:sz="4" w:space="0"/>
            </w:tcBorders>
            <w:vAlign w:val="center"/>
          </w:tcPr>
          <w:p w14:paraId="5354E95E">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 xml:space="preserve"> □ 优          □ 良          □ 中           □ 差</w:t>
            </w:r>
          </w:p>
        </w:tc>
      </w:tr>
      <w:tr w14:paraId="6F57F13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4EE0AEF3">
            <w:pPr>
              <w:spacing w:line="240" w:lineRule="atLeast"/>
              <w:jc w:val="center"/>
              <w:rPr>
                <w:rFonts w:ascii="宋体" w:hAnsi="宋体" w:cs="宋体"/>
                <w:color w:val="auto"/>
                <w:szCs w:val="21"/>
                <w:highlight w:val="none"/>
              </w:rPr>
            </w:pPr>
          </w:p>
        </w:tc>
        <w:tc>
          <w:tcPr>
            <w:tcW w:w="720" w:type="dxa"/>
            <w:vMerge w:val="continue"/>
            <w:tcBorders>
              <w:right w:val="single" w:color="auto" w:sz="4" w:space="0"/>
            </w:tcBorders>
            <w:vAlign w:val="center"/>
          </w:tcPr>
          <w:p w14:paraId="7C2CCEA4">
            <w:pPr>
              <w:spacing w:line="240" w:lineRule="atLeast"/>
              <w:jc w:val="center"/>
              <w:rPr>
                <w:rFonts w:ascii="宋体" w:hAnsi="宋体" w:cs="宋体"/>
                <w:color w:val="auto"/>
                <w:szCs w:val="21"/>
                <w:highlight w:val="none"/>
              </w:rPr>
            </w:pPr>
          </w:p>
        </w:tc>
        <w:tc>
          <w:tcPr>
            <w:tcW w:w="720" w:type="dxa"/>
            <w:tcBorders>
              <w:left w:val="single" w:color="auto" w:sz="4" w:space="0"/>
              <w:right w:val="single" w:color="auto" w:sz="4" w:space="0"/>
            </w:tcBorders>
            <w:vAlign w:val="center"/>
          </w:tcPr>
          <w:p w14:paraId="2169E3A2">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环境保护</w:t>
            </w:r>
          </w:p>
        </w:tc>
        <w:tc>
          <w:tcPr>
            <w:tcW w:w="6384" w:type="dxa"/>
            <w:gridSpan w:val="3"/>
            <w:tcBorders>
              <w:left w:val="single" w:color="auto" w:sz="4" w:space="0"/>
            </w:tcBorders>
            <w:vAlign w:val="center"/>
          </w:tcPr>
          <w:p w14:paraId="23900BBC">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 xml:space="preserve"> □ 优          □ 良          □ 中           □ 差</w:t>
            </w:r>
          </w:p>
        </w:tc>
      </w:tr>
      <w:tr w14:paraId="040260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14:paraId="0DABFB3E">
            <w:pPr>
              <w:spacing w:line="240" w:lineRule="atLeast"/>
              <w:jc w:val="center"/>
              <w:rPr>
                <w:rFonts w:ascii="宋体" w:hAnsi="宋体" w:cs="宋体"/>
                <w:color w:val="auto"/>
                <w:szCs w:val="21"/>
                <w:highlight w:val="none"/>
              </w:rPr>
            </w:pPr>
          </w:p>
        </w:tc>
        <w:tc>
          <w:tcPr>
            <w:tcW w:w="720" w:type="dxa"/>
            <w:vMerge w:val="continue"/>
            <w:tcBorders>
              <w:right w:val="single" w:color="auto" w:sz="4" w:space="0"/>
            </w:tcBorders>
            <w:vAlign w:val="center"/>
          </w:tcPr>
          <w:p w14:paraId="54177020">
            <w:pPr>
              <w:spacing w:line="240" w:lineRule="atLeast"/>
              <w:jc w:val="center"/>
              <w:rPr>
                <w:rFonts w:ascii="宋体" w:hAnsi="宋体" w:cs="宋体"/>
                <w:color w:val="auto"/>
                <w:szCs w:val="21"/>
                <w:highlight w:val="none"/>
              </w:rPr>
            </w:pPr>
          </w:p>
        </w:tc>
        <w:tc>
          <w:tcPr>
            <w:tcW w:w="720" w:type="dxa"/>
            <w:tcBorders>
              <w:left w:val="single" w:color="auto" w:sz="4" w:space="0"/>
              <w:right w:val="single" w:color="auto" w:sz="4" w:space="0"/>
            </w:tcBorders>
            <w:vAlign w:val="center"/>
          </w:tcPr>
          <w:p w14:paraId="65975293">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6384" w:type="dxa"/>
            <w:gridSpan w:val="3"/>
            <w:tcBorders>
              <w:left w:val="single" w:color="auto" w:sz="4" w:space="0"/>
            </w:tcBorders>
            <w:vAlign w:val="center"/>
          </w:tcPr>
          <w:p w14:paraId="226F1EA1">
            <w:pPr>
              <w:spacing w:before="156" w:beforeLines="50" w:after="156" w:afterLines="50" w:line="240" w:lineRule="atLeast"/>
              <w:rPr>
                <w:rFonts w:ascii="宋体" w:hAnsi="宋体" w:cs="宋体"/>
                <w:color w:val="auto"/>
                <w:szCs w:val="21"/>
                <w:highlight w:val="none"/>
                <w:u w:val="single"/>
              </w:rPr>
            </w:pPr>
            <w:r>
              <w:rPr>
                <w:rFonts w:hint="eastAsia" w:ascii="宋体" w:hAnsi="宋体" w:cs="宋体"/>
                <w:color w:val="auto"/>
                <w:szCs w:val="21"/>
                <w:highlight w:val="none"/>
              </w:rPr>
              <w:t>评价内容为：</w:t>
            </w:r>
            <w:r>
              <w:rPr>
                <w:rFonts w:hint="eastAsia" w:ascii="宋体" w:hAnsi="宋体" w:cs="宋体"/>
                <w:color w:val="auto"/>
                <w:szCs w:val="21"/>
                <w:highlight w:val="none"/>
                <w:u w:val="single"/>
              </w:rPr>
              <w:t xml:space="preserve">                    </w:t>
            </w:r>
          </w:p>
          <w:p w14:paraId="76489815">
            <w:pPr>
              <w:spacing w:before="156" w:beforeLines="50" w:after="156" w:afterLines="50" w:line="240" w:lineRule="atLeast"/>
              <w:rPr>
                <w:rFonts w:ascii="宋体" w:hAnsi="宋体" w:cs="宋体"/>
                <w:color w:val="auto"/>
                <w:szCs w:val="21"/>
                <w:highlight w:val="none"/>
              </w:rPr>
            </w:pPr>
            <w:r>
              <w:rPr>
                <w:rFonts w:hint="eastAsia" w:ascii="宋体" w:hAnsi="宋体" w:cs="宋体"/>
                <w:color w:val="auto"/>
                <w:szCs w:val="21"/>
                <w:highlight w:val="none"/>
              </w:rPr>
              <w:t>评价等级为：  □ 优       □ 良        □ 中         □ 差</w:t>
            </w:r>
          </w:p>
        </w:tc>
      </w:tr>
      <w:tr w14:paraId="5E470D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226" w:hRule="atLeast"/>
          <w:jc w:val="center"/>
        </w:trPr>
        <w:tc>
          <w:tcPr>
            <w:tcW w:w="1562" w:type="dxa"/>
            <w:gridSpan w:val="2"/>
            <w:vAlign w:val="center"/>
          </w:tcPr>
          <w:p w14:paraId="504B8353">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具体情况说明</w:t>
            </w:r>
          </w:p>
        </w:tc>
        <w:tc>
          <w:tcPr>
            <w:tcW w:w="7104" w:type="dxa"/>
            <w:gridSpan w:val="4"/>
          </w:tcPr>
          <w:p w14:paraId="6A9115B8">
            <w:pPr>
              <w:spacing w:line="240" w:lineRule="atLeast"/>
              <w:rPr>
                <w:rFonts w:ascii="宋体" w:hAnsi="宋体" w:cs="宋体"/>
                <w:color w:val="auto"/>
                <w:szCs w:val="21"/>
                <w:highlight w:val="none"/>
              </w:rPr>
            </w:pPr>
          </w:p>
          <w:p w14:paraId="11043E34">
            <w:pPr>
              <w:spacing w:line="240" w:lineRule="atLeast"/>
              <w:rPr>
                <w:rFonts w:ascii="宋体" w:hAnsi="宋体" w:cs="宋体"/>
                <w:color w:val="auto"/>
                <w:szCs w:val="21"/>
                <w:highlight w:val="none"/>
              </w:rPr>
            </w:pPr>
          </w:p>
          <w:p w14:paraId="7B24E154">
            <w:pPr>
              <w:spacing w:line="240" w:lineRule="atLeast"/>
              <w:rPr>
                <w:rFonts w:ascii="宋体" w:hAnsi="宋体" w:cs="宋体"/>
                <w:color w:val="auto"/>
                <w:szCs w:val="21"/>
                <w:highlight w:val="none"/>
              </w:rPr>
            </w:pPr>
          </w:p>
          <w:p w14:paraId="23302780">
            <w:pPr>
              <w:spacing w:line="240" w:lineRule="atLeast"/>
              <w:rPr>
                <w:rFonts w:ascii="宋体" w:hAnsi="宋体" w:cs="宋体"/>
                <w:color w:val="auto"/>
                <w:szCs w:val="21"/>
                <w:highlight w:val="none"/>
              </w:rPr>
            </w:pPr>
          </w:p>
        </w:tc>
      </w:tr>
      <w:tr w14:paraId="7BC4535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10" w:hRule="atLeast"/>
          <w:jc w:val="center"/>
        </w:trPr>
        <w:tc>
          <w:tcPr>
            <w:tcW w:w="1562" w:type="dxa"/>
            <w:gridSpan w:val="2"/>
            <w:vAlign w:val="center"/>
          </w:tcPr>
          <w:p w14:paraId="7A63B4B5">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采购单位意见</w:t>
            </w:r>
          </w:p>
          <w:p w14:paraId="10A4AE61">
            <w:pPr>
              <w:spacing w:line="240" w:lineRule="atLeast"/>
              <w:jc w:val="center"/>
              <w:rPr>
                <w:rFonts w:ascii="宋体" w:hAnsi="宋体" w:cs="宋体"/>
                <w:color w:val="auto"/>
                <w:szCs w:val="21"/>
                <w:highlight w:val="none"/>
              </w:rPr>
            </w:pPr>
            <w:r>
              <w:rPr>
                <w:rFonts w:hint="eastAsia" w:ascii="宋体" w:hAnsi="宋体" w:cs="宋体"/>
                <w:color w:val="auto"/>
                <w:szCs w:val="21"/>
                <w:highlight w:val="none"/>
              </w:rPr>
              <w:t>（公章）</w:t>
            </w:r>
          </w:p>
        </w:tc>
        <w:tc>
          <w:tcPr>
            <w:tcW w:w="7104" w:type="dxa"/>
            <w:gridSpan w:val="4"/>
            <w:vAlign w:val="center"/>
          </w:tcPr>
          <w:p w14:paraId="6184025B">
            <w:pPr>
              <w:spacing w:line="240" w:lineRule="atLeast"/>
              <w:rPr>
                <w:rFonts w:ascii="宋体" w:hAnsi="宋体" w:cs="宋体"/>
                <w:color w:val="auto"/>
                <w:szCs w:val="21"/>
                <w:highlight w:val="none"/>
              </w:rPr>
            </w:pPr>
          </w:p>
          <w:p w14:paraId="1175F9DF">
            <w:pPr>
              <w:spacing w:line="240" w:lineRule="atLeast"/>
              <w:rPr>
                <w:rFonts w:ascii="宋体" w:hAnsi="宋体" w:cs="宋体"/>
                <w:color w:val="auto"/>
                <w:szCs w:val="21"/>
                <w:highlight w:val="none"/>
              </w:rPr>
            </w:pPr>
          </w:p>
          <w:p w14:paraId="7F10C30C">
            <w:pPr>
              <w:spacing w:line="240" w:lineRule="atLeast"/>
              <w:rPr>
                <w:rFonts w:ascii="宋体" w:hAnsi="宋体" w:cs="宋体"/>
                <w:color w:val="auto"/>
                <w:szCs w:val="21"/>
                <w:highlight w:val="none"/>
              </w:rPr>
            </w:pPr>
          </w:p>
          <w:p w14:paraId="0AA0E2EB">
            <w:pPr>
              <w:spacing w:line="240" w:lineRule="atLeast"/>
              <w:rPr>
                <w:rFonts w:ascii="宋体" w:hAnsi="宋体" w:cs="宋体"/>
                <w:color w:val="auto"/>
                <w:szCs w:val="21"/>
                <w:highlight w:val="none"/>
              </w:rPr>
            </w:pPr>
            <w:r>
              <w:rPr>
                <w:rFonts w:hint="eastAsia" w:ascii="宋体" w:hAnsi="宋体" w:cs="宋体"/>
                <w:color w:val="auto"/>
                <w:szCs w:val="21"/>
                <w:highlight w:val="none"/>
              </w:rPr>
              <w:t xml:space="preserve">                                        </w:t>
            </w:r>
          </w:p>
          <w:p w14:paraId="3314CF57">
            <w:pPr>
              <w:spacing w:line="240" w:lineRule="atLeast"/>
              <w:ind w:firstLine="3780" w:firstLineChars="1800"/>
              <w:rPr>
                <w:rFonts w:ascii="宋体" w:hAnsi="宋体" w:cs="宋体"/>
                <w:color w:val="auto"/>
                <w:szCs w:val="21"/>
                <w:highlight w:val="none"/>
              </w:rPr>
            </w:pPr>
          </w:p>
          <w:p w14:paraId="47D95357">
            <w:pPr>
              <w:spacing w:line="240" w:lineRule="atLeast"/>
              <w:ind w:firstLine="3780" w:firstLineChars="1800"/>
              <w:rPr>
                <w:rFonts w:ascii="宋体" w:hAnsi="宋体" w:cs="宋体"/>
                <w:color w:val="auto"/>
                <w:szCs w:val="21"/>
                <w:highlight w:val="none"/>
              </w:rPr>
            </w:pPr>
            <w:r>
              <w:rPr>
                <w:rFonts w:hint="eastAsia" w:ascii="宋体" w:hAnsi="宋体" w:cs="宋体"/>
                <w:color w:val="auto"/>
                <w:szCs w:val="21"/>
                <w:highlight w:val="none"/>
              </w:rPr>
              <w:t>日期：   年   月   日</w:t>
            </w:r>
          </w:p>
        </w:tc>
      </w:tr>
    </w:tbl>
    <w:p w14:paraId="004EB34D">
      <w:pPr>
        <w:spacing w:line="240" w:lineRule="atLeast"/>
        <w:rPr>
          <w:rFonts w:ascii="宋体" w:hAnsi="宋体" w:cs="宋体"/>
          <w:color w:val="auto"/>
          <w:szCs w:val="21"/>
          <w:highlight w:val="none"/>
        </w:rPr>
      </w:pPr>
      <w:r>
        <w:rPr>
          <w:rFonts w:hint="eastAsia" w:ascii="宋体" w:hAnsi="宋体" w:cs="宋体"/>
          <w:color w:val="auto"/>
          <w:szCs w:val="21"/>
          <w:highlight w:val="none"/>
        </w:rPr>
        <w:t>说明：</w:t>
      </w:r>
    </w:p>
    <w:p w14:paraId="6B35B8AD">
      <w:pPr>
        <w:spacing w:line="240" w:lineRule="atLeast"/>
        <w:rPr>
          <w:rFonts w:ascii="宋体" w:hAnsi="宋体" w:cs="宋体"/>
          <w:color w:val="auto"/>
          <w:szCs w:val="21"/>
          <w:highlight w:val="none"/>
        </w:rPr>
      </w:pPr>
      <w:r>
        <w:rPr>
          <w:rFonts w:hint="eastAsia" w:ascii="宋体" w:hAnsi="宋体" w:cs="宋体"/>
          <w:color w:val="auto"/>
          <w:szCs w:val="21"/>
          <w:highlight w:val="none"/>
        </w:rPr>
        <w:t>1、本表为采购单位反映政府采购项目履约情况时所用；</w:t>
      </w:r>
    </w:p>
    <w:p w14:paraId="7828BB87">
      <w:pPr>
        <w:spacing w:line="240" w:lineRule="atLeast"/>
        <w:rPr>
          <w:color w:val="auto"/>
          <w:highlight w:val="none"/>
        </w:rPr>
      </w:pPr>
      <w:r>
        <w:rPr>
          <w:rFonts w:hint="eastAsia" w:ascii="宋体" w:hAnsi="宋体" w:cs="宋体"/>
          <w:color w:val="auto"/>
          <w:szCs w:val="21"/>
          <w:highlight w:val="none"/>
        </w:rPr>
        <w:t>2、履约情况评价分为优、良、中、差四个等级，请在对应的框前打“√”，然后在“具体情况说明”一栏详细说明有关情况。</w:t>
      </w:r>
    </w:p>
    <w:p w14:paraId="2A751728">
      <w:pPr>
        <w:rPr>
          <w:color w:val="auto"/>
          <w:highlight w:val="none"/>
        </w:rPr>
      </w:pPr>
    </w:p>
    <w:p w14:paraId="305552AF">
      <w:pPr>
        <w:rPr>
          <w:color w:val="auto"/>
          <w:highlight w:val="none"/>
        </w:rPr>
      </w:pPr>
    </w:p>
    <w:p w14:paraId="47CAF032">
      <w:pPr>
        <w:rPr>
          <w:color w:val="auto"/>
          <w:highlight w:val="none"/>
        </w:rPr>
      </w:pPr>
    </w:p>
    <w:p w14:paraId="60E358D3">
      <w:pPr>
        <w:rPr>
          <w:color w:val="auto"/>
          <w:highlight w:val="none"/>
        </w:rPr>
      </w:pPr>
    </w:p>
    <w:p w14:paraId="695B710B">
      <w:pPr>
        <w:rPr>
          <w:color w:val="auto"/>
          <w:highlight w:val="none"/>
        </w:rPr>
      </w:pPr>
    </w:p>
    <w:p w14:paraId="72991CFC">
      <w:pPr>
        <w:rPr>
          <w:color w:val="auto"/>
          <w:highlight w:val="none"/>
        </w:rPr>
      </w:pPr>
    </w:p>
    <w:p w14:paraId="689E736C">
      <w:pPr>
        <w:rPr>
          <w:color w:val="auto"/>
          <w:highlight w:val="none"/>
        </w:rPr>
      </w:pPr>
    </w:p>
    <w:p w14:paraId="07E88610">
      <w:pPr>
        <w:rPr>
          <w:color w:val="auto"/>
          <w:highlight w:val="none"/>
        </w:rPr>
      </w:pPr>
    </w:p>
    <w:p w14:paraId="55BB6295">
      <w:pPr>
        <w:rPr>
          <w:color w:val="auto"/>
          <w:highlight w:val="none"/>
        </w:rPr>
      </w:pPr>
    </w:p>
    <w:p w14:paraId="636F2E8C">
      <w:pPr>
        <w:rPr>
          <w:color w:val="auto"/>
          <w:highlight w:val="none"/>
        </w:rPr>
      </w:pPr>
    </w:p>
    <w:p w14:paraId="79D79F01">
      <w:pPr>
        <w:rPr>
          <w:color w:val="auto"/>
          <w:highlight w:val="none"/>
        </w:rPr>
      </w:pPr>
    </w:p>
    <w:p w14:paraId="6C739A71">
      <w:pPr>
        <w:pStyle w:val="2"/>
        <w:rPr>
          <w:color w:val="auto"/>
          <w:highlight w:val="none"/>
        </w:rPr>
      </w:pPr>
      <w:r>
        <w:rPr>
          <w:color w:val="auto"/>
          <w:highlight w:val="none"/>
        </w:rPr>
        <w:t>第二册  通用条款</w:t>
      </w:r>
      <w:r>
        <w:rPr>
          <w:color w:val="auto"/>
          <w:highlight w:val="none"/>
        </w:rPr>
        <w:br w:type="page"/>
      </w:r>
    </w:p>
    <w:p w14:paraId="18BB2578">
      <w:pPr>
        <w:rPr>
          <w:color w:val="auto"/>
          <w:highlight w:val="none"/>
        </w:rPr>
      </w:pPr>
    </w:p>
    <w:p w14:paraId="190E6FCF">
      <w:pPr>
        <w:rPr>
          <w:color w:val="auto"/>
          <w:highlight w:val="none"/>
        </w:rPr>
      </w:pPr>
    </w:p>
    <w:p w14:paraId="286DB4ED">
      <w:pPr>
        <w:rPr>
          <w:color w:val="auto"/>
          <w:highlight w:val="none"/>
        </w:rPr>
      </w:pPr>
    </w:p>
    <w:p w14:paraId="29CCA52F">
      <w:pPr>
        <w:rPr>
          <w:color w:val="auto"/>
          <w:highlight w:val="none"/>
        </w:rPr>
      </w:pPr>
    </w:p>
    <w:p w14:paraId="1E47D074">
      <w:pPr>
        <w:rPr>
          <w:color w:val="auto"/>
          <w:highlight w:val="none"/>
        </w:rPr>
      </w:pPr>
    </w:p>
    <w:p w14:paraId="58B3917A">
      <w:pPr>
        <w:rPr>
          <w:color w:val="auto"/>
          <w:highlight w:val="none"/>
        </w:rPr>
      </w:pPr>
    </w:p>
    <w:p w14:paraId="4EBF61D5">
      <w:pPr>
        <w:rPr>
          <w:color w:val="auto"/>
          <w:highlight w:val="none"/>
        </w:rPr>
      </w:pPr>
    </w:p>
    <w:p w14:paraId="5431C5D8">
      <w:pPr>
        <w:rPr>
          <w:color w:val="auto"/>
          <w:highlight w:val="none"/>
        </w:rPr>
      </w:pPr>
    </w:p>
    <w:p w14:paraId="02EDB50C">
      <w:pPr>
        <w:rPr>
          <w:color w:val="auto"/>
          <w:highlight w:val="none"/>
        </w:rPr>
      </w:pPr>
    </w:p>
    <w:p w14:paraId="2D3B158E">
      <w:pPr>
        <w:rPr>
          <w:color w:val="auto"/>
          <w:highlight w:val="none"/>
        </w:rPr>
      </w:pPr>
    </w:p>
    <w:p w14:paraId="5671F0BA">
      <w:pPr>
        <w:rPr>
          <w:color w:val="auto"/>
          <w:highlight w:val="none"/>
        </w:rPr>
      </w:pPr>
    </w:p>
    <w:p w14:paraId="72875410">
      <w:pPr>
        <w:rPr>
          <w:color w:val="auto"/>
          <w:highlight w:val="none"/>
        </w:rPr>
      </w:pPr>
    </w:p>
    <w:p w14:paraId="68387BC0">
      <w:pPr>
        <w:rPr>
          <w:color w:val="auto"/>
          <w:highlight w:val="none"/>
        </w:rPr>
      </w:pPr>
    </w:p>
    <w:p w14:paraId="0264F3EC">
      <w:pPr>
        <w:rPr>
          <w:color w:val="auto"/>
          <w:highlight w:val="none"/>
        </w:rPr>
      </w:pPr>
    </w:p>
    <w:p w14:paraId="369A8A9C">
      <w:pPr>
        <w:rPr>
          <w:color w:val="auto"/>
          <w:highlight w:val="none"/>
        </w:rPr>
      </w:pPr>
    </w:p>
    <w:p w14:paraId="70D80047">
      <w:pPr>
        <w:rPr>
          <w:color w:val="auto"/>
          <w:highlight w:val="none"/>
        </w:rPr>
      </w:pPr>
    </w:p>
    <w:p w14:paraId="74836AA1">
      <w:pPr>
        <w:pStyle w:val="3"/>
        <w:rPr>
          <w:rFonts w:hint="eastAsia" w:ascii="宋体" w:hAnsi="宋体" w:cs="宋体"/>
          <w:color w:val="auto"/>
          <w:sz w:val="22"/>
          <w:szCs w:val="22"/>
          <w:highlight w:val="none"/>
        </w:rPr>
      </w:pPr>
      <w:r>
        <w:rPr>
          <w:bCs/>
          <w:color w:val="auto"/>
          <w:sz w:val="32"/>
          <w:szCs w:val="32"/>
          <w:highlight w:val="none"/>
        </w:rPr>
        <w:t>第一章  总则</w:t>
      </w:r>
      <w:r>
        <w:rPr>
          <w:bCs/>
          <w:color w:val="auto"/>
          <w:sz w:val="32"/>
          <w:szCs w:val="32"/>
          <w:highlight w:val="none"/>
        </w:rPr>
        <w:br w:type="page"/>
      </w:r>
    </w:p>
    <w:p w14:paraId="11458B72">
      <w:pPr>
        <w:rPr>
          <w:rFonts w:hint="eastAsia" w:ascii="宋体" w:hAnsi="宋体" w:cs="宋体"/>
          <w:color w:val="auto"/>
          <w:sz w:val="22"/>
          <w:highlight w:val="none"/>
        </w:rPr>
      </w:pPr>
    </w:p>
    <w:p w14:paraId="35409254">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通用条款说明</w:t>
      </w:r>
    </w:p>
    <w:p w14:paraId="4F0CDCB6">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政府采购代理机构发出采购文件通用条款版本，列出深圳市政府采购项目进行招标采购所适用的通用条款内容。如有需要，政府采购代理机构可以对这些条款增加附录或补充内容。</w:t>
      </w:r>
    </w:p>
    <w:p w14:paraId="0A7C3C1C">
      <w:pPr>
        <w:ind w:left="907"/>
        <w:rPr>
          <w:rFonts w:hint="eastAsia" w:ascii="宋体" w:hAnsi="宋体" w:cs="宋体"/>
          <w:color w:val="auto"/>
          <w:sz w:val="22"/>
          <w:highlight w:val="none"/>
        </w:rPr>
      </w:pPr>
    </w:p>
    <w:p w14:paraId="27F9ADC3">
      <w:pPr>
        <w:numPr>
          <w:ilvl w:val="0"/>
          <w:numId w:val="12"/>
        </w:numPr>
        <w:rPr>
          <w:rFonts w:hint="eastAsia" w:ascii="宋体" w:hAnsi="宋体" w:cs="宋体"/>
          <w:color w:val="auto"/>
          <w:sz w:val="22"/>
          <w:highlight w:val="none"/>
        </w:rPr>
      </w:pPr>
      <w:bookmarkStart w:id="35" w:name="_Toc60631622"/>
      <w:bookmarkStart w:id="36" w:name="_Toc73517641"/>
      <w:bookmarkStart w:id="37" w:name="_Toc100052366"/>
      <w:bookmarkStart w:id="38" w:name="_Toc73521637"/>
      <w:bookmarkStart w:id="39" w:name="_Toc60560627"/>
      <w:bookmarkStart w:id="40" w:name="_Toc73521549"/>
      <w:bookmarkStart w:id="41" w:name="_Toc73518119"/>
      <w:bookmarkStart w:id="42" w:name="_Toc73518121"/>
      <w:bookmarkStart w:id="43" w:name="_Toc60560629"/>
      <w:bookmarkStart w:id="44" w:name="_Toc73517643"/>
      <w:bookmarkStart w:id="45" w:name="_Toc73521551"/>
      <w:bookmarkStart w:id="46" w:name="_Toc73521639"/>
      <w:bookmarkStart w:id="47" w:name="_Toc60631624"/>
      <w:bookmarkStart w:id="48" w:name="_Toc100052368"/>
      <w:r>
        <w:rPr>
          <w:rFonts w:hint="eastAsia" w:ascii="宋体" w:hAnsi="宋体" w:cs="宋体"/>
          <w:color w:val="auto"/>
          <w:sz w:val="22"/>
          <w:highlight w:val="none"/>
        </w:rPr>
        <w:t>采购说明</w:t>
      </w:r>
      <w:bookmarkEnd w:id="35"/>
      <w:bookmarkEnd w:id="36"/>
      <w:bookmarkEnd w:id="37"/>
      <w:bookmarkEnd w:id="38"/>
      <w:bookmarkEnd w:id="39"/>
      <w:bookmarkEnd w:id="40"/>
      <w:bookmarkEnd w:id="41"/>
    </w:p>
    <w:p w14:paraId="76E901D7">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本项目参照《深圳经济特区政府采购条例》的规定，并参考有关法规、政策、规章、规定通过招标择优选定供应商。</w:t>
      </w:r>
    </w:p>
    <w:p w14:paraId="4CDCCFDC">
      <w:pPr>
        <w:ind w:left="907"/>
        <w:rPr>
          <w:rFonts w:hint="eastAsia" w:ascii="宋体" w:hAnsi="宋体" w:cs="宋体"/>
          <w:color w:val="auto"/>
          <w:sz w:val="22"/>
          <w:highlight w:val="none"/>
        </w:rPr>
      </w:pPr>
    </w:p>
    <w:p w14:paraId="07F50ACB">
      <w:pPr>
        <w:numPr>
          <w:ilvl w:val="0"/>
          <w:numId w:val="12"/>
        </w:numPr>
        <w:rPr>
          <w:rFonts w:hint="eastAsia" w:ascii="宋体" w:hAnsi="宋体" w:cs="宋体"/>
          <w:color w:val="auto"/>
          <w:sz w:val="22"/>
          <w:highlight w:val="none"/>
        </w:rPr>
      </w:pPr>
      <w:bookmarkStart w:id="49" w:name="_Toc73517642"/>
      <w:bookmarkStart w:id="50" w:name="_Toc60631623"/>
      <w:bookmarkStart w:id="51" w:name="_Toc100052367"/>
      <w:bookmarkStart w:id="52" w:name="_Toc60560628"/>
      <w:bookmarkStart w:id="53" w:name="_Toc73521550"/>
      <w:bookmarkStart w:id="54" w:name="_Toc73518120"/>
      <w:bookmarkStart w:id="55" w:name="_Toc73521638"/>
      <w:r>
        <w:rPr>
          <w:rFonts w:hint="eastAsia" w:ascii="宋体" w:hAnsi="宋体" w:cs="宋体"/>
          <w:color w:val="auto"/>
          <w:sz w:val="22"/>
          <w:highlight w:val="none"/>
        </w:rPr>
        <w:t>定义</w:t>
      </w:r>
      <w:bookmarkEnd w:id="49"/>
      <w:bookmarkEnd w:id="50"/>
      <w:bookmarkEnd w:id="51"/>
      <w:bookmarkEnd w:id="52"/>
      <w:bookmarkEnd w:id="53"/>
      <w:bookmarkEnd w:id="54"/>
      <w:bookmarkEnd w:id="55"/>
    </w:p>
    <w:p w14:paraId="140BF9A8">
      <w:pPr>
        <w:ind w:left="907"/>
        <w:rPr>
          <w:rFonts w:hint="eastAsia" w:ascii="宋体" w:hAnsi="宋体" w:cs="宋体"/>
          <w:color w:val="auto"/>
          <w:sz w:val="22"/>
          <w:highlight w:val="none"/>
        </w:rPr>
      </w:pPr>
      <w:r>
        <w:rPr>
          <w:rFonts w:hint="eastAsia" w:ascii="宋体" w:hAnsi="宋体" w:cs="宋体"/>
          <w:color w:val="auto"/>
          <w:sz w:val="22"/>
          <w:highlight w:val="none"/>
        </w:rPr>
        <w:t>采购文件中下列术语应解释为：</w:t>
      </w:r>
    </w:p>
    <w:p w14:paraId="17D04D7A">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“政府采购代理机构”系指依法设立的负责采购组织工作的专门机构；本项目系指深圳市东海国际招标有限公司；</w:t>
      </w:r>
    </w:p>
    <w:p w14:paraId="64F6388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 xml:space="preserve">“采购人”或“采购单位”：系指利用财政性资金依法进行政府采购的国家机关、事业单位、团体组织； </w:t>
      </w:r>
    </w:p>
    <w:p w14:paraId="5E2D0367">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“投标人”或“投标方”，即供应商，是指参加投标竞争并愿意按照采购文件要求向采购人提供货物、工程或者服务的依法成立的法人、其他组织或者自然人；</w:t>
      </w:r>
    </w:p>
    <w:p w14:paraId="53671B89">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“评审委员会”和“谈判小组”是参照《深圳经济特区政府采购条例》有关规定组建的专门负责本次采购其评标（谈判）工作的临时性机构；</w:t>
      </w:r>
    </w:p>
    <w:p w14:paraId="5FC71AB2">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“日期”指公历日；</w:t>
      </w:r>
    </w:p>
    <w:p w14:paraId="2892D25A">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“合同”指由本次招标所产生的合同或合约文件。</w:t>
      </w:r>
    </w:p>
    <w:p w14:paraId="4C75F22F">
      <w:pPr>
        <w:ind w:left="907"/>
        <w:rPr>
          <w:rFonts w:hint="eastAsia" w:ascii="宋体" w:hAnsi="宋体" w:cs="宋体"/>
          <w:color w:val="auto"/>
          <w:sz w:val="22"/>
          <w:highlight w:val="none"/>
        </w:rPr>
      </w:pPr>
    </w:p>
    <w:p w14:paraId="66345110">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政府采购供应商责任</w:t>
      </w:r>
    </w:p>
    <w:p w14:paraId="2DBB8D68">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欢迎诚信、有实力和有社会责任心的供应商参与政府采购事业。</w:t>
      </w:r>
    </w:p>
    <w:p w14:paraId="3BE15D64">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供应商在政府采购项目投标过程中应诚实守信，不弄虚作假，不隐瞒真实情况，不围标串标，不恶意质疑投诉。如违反上述要求，经核实后，供应商的投标将作废，没收投标保证金，将该供应商列入不良记录名单并在网上曝光，同时提请政府采购监督管理部门给予一定年限内禁止参加政府采购活动的处罚或其他处罚。</w:t>
      </w:r>
    </w:p>
    <w:p w14:paraId="1B7097E9">
      <w:pPr>
        <w:ind w:left="907"/>
        <w:rPr>
          <w:rFonts w:hint="eastAsia" w:ascii="宋体" w:hAnsi="宋体" w:cs="宋体"/>
          <w:color w:val="auto"/>
          <w:sz w:val="22"/>
          <w:highlight w:val="none"/>
        </w:rPr>
      </w:pPr>
    </w:p>
    <w:bookmarkEnd w:id="42"/>
    <w:bookmarkEnd w:id="43"/>
    <w:bookmarkEnd w:id="44"/>
    <w:bookmarkEnd w:id="45"/>
    <w:bookmarkEnd w:id="46"/>
    <w:bookmarkEnd w:id="47"/>
    <w:bookmarkEnd w:id="48"/>
    <w:p w14:paraId="61BEEC33">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投标人参加政府采购的条件</w:t>
      </w:r>
    </w:p>
    <w:p w14:paraId="68F0E33F">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参加本项目的投标人应具备的资格条件详见本项目采购公告中 “对投标人资格要求”的内容。</w:t>
      </w:r>
    </w:p>
    <w:p w14:paraId="431459FB">
      <w:pPr>
        <w:ind w:left="907"/>
        <w:rPr>
          <w:rFonts w:hint="eastAsia" w:ascii="宋体" w:hAnsi="宋体" w:cs="宋体"/>
          <w:color w:val="auto"/>
          <w:sz w:val="22"/>
          <w:highlight w:val="none"/>
        </w:rPr>
      </w:pPr>
    </w:p>
    <w:p w14:paraId="78CDB7B4">
      <w:pPr>
        <w:numPr>
          <w:ilvl w:val="0"/>
          <w:numId w:val="12"/>
        </w:numPr>
        <w:rPr>
          <w:rFonts w:hint="eastAsia" w:ascii="宋体" w:hAnsi="宋体" w:cs="宋体"/>
          <w:color w:val="auto"/>
          <w:sz w:val="22"/>
          <w:highlight w:val="none"/>
        </w:rPr>
      </w:pPr>
      <w:bookmarkStart w:id="56" w:name="_Toc73517645"/>
      <w:bookmarkStart w:id="57" w:name="_Toc60560631"/>
      <w:bookmarkStart w:id="58" w:name="_Toc100052370"/>
      <w:bookmarkStart w:id="59" w:name="_Toc73521553"/>
      <w:bookmarkStart w:id="60" w:name="_Toc73518123"/>
      <w:bookmarkStart w:id="61" w:name="_Toc73521641"/>
      <w:bookmarkStart w:id="62" w:name="_Toc60631626"/>
      <w:r>
        <w:rPr>
          <w:rFonts w:hint="eastAsia" w:ascii="宋体" w:hAnsi="宋体" w:cs="宋体"/>
          <w:color w:val="auto"/>
          <w:sz w:val="22"/>
          <w:highlight w:val="none"/>
        </w:rPr>
        <w:t>联合体投标</w:t>
      </w:r>
    </w:p>
    <w:p w14:paraId="57DB66F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以下有关联合体投标的条款仅适用于允许投标人组成联合体投标的项目。</w:t>
      </w:r>
    </w:p>
    <w:p w14:paraId="07D3ACE7">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由两个或两个以上的自然人、法人或者其他组织可以组成一个联合体，以一个供应商的身份共同投标时，应符合以下原则：</w:t>
      </w:r>
    </w:p>
    <w:p w14:paraId="79DCA8EF">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 xml:space="preserve">投标联合体各方参加政府采购活动应当具备下列条件： </w:t>
      </w:r>
    </w:p>
    <w:p w14:paraId="1FA6B67A">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具有独立承担民事责任的能力； </w:t>
      </w:r>
    </w:p>
    <w:p w14:paraId="7F49824C">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有良好的商业信誉和健全的财务会计制度； </w:t>
      </w:r>
    </w:p>
    <w:p w14:paraId="4B57B123">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具有履行合同所必需的设备和专业技术能力； </w:t>
      </w:r>
    </w:p>
    <w:p w14:paraId="146467C2">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有依法缴纳税收和社会保障资金的良好记录； </w:t>
      </w:r>
    </w:p>
    <w:p w14:paraId="1EFBC5F7">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参加政府采购活动前三年内，在经营活动中没有重大违法记录； </w:t>
      </w:r>
    </w:p>
    <w:p w14:paraId="49C51A29">
      <w:pPr>
        <w:numPr>
          <w:ilvl w:val="3"/>
          <w:numId w:val="15"/>
        </w:numPr>
        <w:rPr>
          <w:rFonts w:hint="eastAsia" w:ascii="宋体" w:hAnsi="宋体" w:cs="宋体"/>
          <w:color w:val="auto"/>
          <w:sz w:val="22"/>
          <w:highlight w:val="none"/>
        </w:rPr>
      </w:pPr>
      <w:r>
        <w:rPr>
          <w:rFonts w:hint="eastAsia" w:ascii="宋体" w:hAnsi="宋体" w:cs="宋体"/>
          <w:color w:val="auto"/>
          <w:sz w:val="22"/>
          <w:highlight w:val="none"/>
        </w:rPr>
        <w:t xml:space="preserve">法律、行政法规规定的其他条件。 </w:t>
      </w:r>
    </w:p>
    <w:p w14:paraId="7998239A">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投标联合体各方必须有一方先行注册成深圳政府采购代理机构供应商；</w:t>
      </w:r>
    </w:p>
    <w:p w14:paraId="1C8018C2">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采购人根据采购项目的特殊要求规定投标人特定条件的，联合体各方中至少应当有一方符合采购人规定的特定条件。对于采购公告对投标人某一资格有要求的，按照联合体各方中最低资质等级确定联合体的资质等级；联合体各方的不同资质可优势互补。</w:t>
      </w:r>
    </w:p>
    <w:p w14:paraId="4B63A339">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投标人的投标文件及中标后签署的合同协议对联合体各方均具法律约束力；</w:t>
      </w:r>
    </w:p>
    <w:p w14:paraId="70158AA6">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联合体各方应当签订共同投标协议，明确约定各方拟承担的工作和责任，并将该共同投标协议随投标文件一并递交给政府采购代理机构；</w:t>
      </w:r>
    </w:p>
    <w:p w14:paraId="77028C89">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联合体中标后，联合体各方应当共同与采购单位签订合同，就中标项目向采购单位承担连带责任；</w:t>
      </w:r>
    </w:p>
    <w:p w14:paraId="6881449E">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联合体的各方应当共同推荐一联合体投标授权代表方，由联合体各方提交一份授权书，证明其有资格代表联合体各方签署投标文件，该授权书作为投标文件的组成部分一并提交给政府采购代理机构；</w:t>
      </w:r>
    </w:p>
    <w:p w14:paraId="65BED408">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参加联合体的各方不得再以自己名义单独在同一项目中投标，不得组成新的联合体参加同一项目投标，也不得以分包商或其它形式参与同一项目投标，出现上述情况者，其投标和与此有关联合体、总包单位的投标将被拒绝；</w:t>
      </w:r>
    </w:p>
    <w:p w14:paraId="51D89326">
      <w:pPr>
        <w:numPr>
          <w:ilvl w:val="2"/>
          <w:numId w:val="14"/>
        </w:numPr>
        <w:rPr>
          <w:rFonts w:hint="eastAsia" w:ascii="宋体" w:hAnsi="宋体" w:cs="宋体"/>
          <w:color w:val="auto"/>
          <w:sz w:val="22"/>
          <w:highlight w:val="none"/>
        </w:rPr>
      </w:pPr>
      <w:r>
        <w:rPr>
          <w:rFonts w:hint="eastAsia" w:ascii="宋体" w:hAnsi="宋体" w:cs="宋体"/>
          <w:color w:val="auto"/>
          <w:sz w:val="22"/>
          <w:highlight w:val="none"/>
        </w:rPr>
        <w:t>除非另有规定或说明，本通用条款中“投标人”一词亦指联合体各方。</w:t>
      </w:r>
    </w:p>
    <w:p w14:paraId="0FB38459">
      <w:pPr>
        <w:ind w:left="907"/>
        <w:rPr>
          <w:rFonts w:hint="eastAsia" w:ascii="宋体" w:hAnsi="宋体" w:cs="宋体"/>
          <w:color w:val="auto"/>
          <w:sz w:val="22"/>
          <w:highlight w:val="none"/>
        </w:rPr>
      </w:pPr>
    </w:p>
    <w:p w14:paraId="72A7A135">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本项目若涉及采购货物，则合格的货物及相应服务应满足以下要求：</w:t>
      </w:r>
    </w:p>
    <w:p w14:paraId="45C14F64">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必须是全新、未使用过的原装合格正品（包括零部件），如安装或配置了软件的，须为正版软件。</w:t>
      </w:r>
    </w:p>
    <w:p w14:paraId="31B08338">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国产的货物及其有关服务必须符合中华人民共和国的设计和制造生产标准或行业标准。采购公告有其他要求的，亦应符合其要求。</w:t>
      </w:r>
    </w:p>
    <w:p w14:paraId="3AF6F65E">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进口货物及其有关服务必须符合原产地和/或中华人民共和国的设计和制造生产标准或行业标准。进口的货物必须具有合法的进口手续和途径，并通过中华人民共和国商检部门检验。采购公告有其他要求的，亦应符合其要求。</w:t>
      </w:r>
    </w:p>
    <w:p w14:paraId="27D768A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应保证，其所提供的货物在提供给采购单位前具有完全的所有权，采购单位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p>
    <w:p w14:paraId="2683200A">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应保证，其所提供的货物应具有行政主管部门颁发的资质证书或国家质量监督部门的产品《检验报告》。设备到货验收时，还必须提供设备的产品合格证、质量保证文件。若中标后，除非另有约定，投标人必须按合同规定完成设备的安装，并达到验收标准。</w:t>
      </w:r>
    </w:p>
    <w:p w14:paraId="021C66AC">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对工期的要求：投标人在投标时对其所投项目应提交详细的《交货进度表》，列明交货计划等，在合同规定的时间内完工验收。</w:t>
      </w:r>
    </w:p>
    <w:p w14:paraId="4C3C29CC">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除非下文另有规定，产品有效期为：密封存放在阴凉、干燥、通风、温度为-5°Ｃ～４０°Ｃ的环境中，有效期八年。特殊要求的另行规定。</w:t>
      </w:r>
    </w:p>
    <w:p w14:paraId="2CE24F2C">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服务响应期：4小时以内到达采购单位现场。特殊要求的另行规定。</w:t>
      </w:r>
    </w:p>
    <w:p w14:paraId="3AD0AEF5">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投标人必须承担的设备运输、安装调试、验收检测和提供设备操作说明书、图纸等其他相关及类似的义务。</w:t>
      </w:r>
    </w:p>
    <w:p w14:paraId="0FDA126F">
      <w:pPr>
        <w:ind w:left="907"/>
        <w:rPr>
          <w:rFonts w:hint="eastAsia" w:ascii="宋体" w:hAnsi="宋体" w:cs="宋体"/>
          <w:color w:val="auto"/>
          <w:sz w:val="22"/>
          <w:highlight w:val="none"/>
        </w:rPr>
      </w:pPr>
    </w:p>
    <w:p w14:paraId="0752583B">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投标费用</w:t>
      </w:r>
      <w:bookmarkEnd w:id="56"/>
      <w:bookmarkEnd w:id="57"/>
      <w:bookmarkEnd w:id="58"/>
      <w:bookmarkEnd w:id="59"/>
      <w:bookmarkEnd w:id="60"/>
      <w:bookmarkEnd w:id="61"/>
      <w:bookmarkEnd w:id="62"/>
    </w:p>
    <w:p w14:paraId="42E69E26">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不论投标结果如何，投标人应承担其编制投标文件与递交投标文件所涉及的一切费用。</w:t>
      </w:r>
    </w:p>
    <w:p w14:paraId="46BD3B50">
      <w:pPr>
        <w:ind w:left="907"/>
        <w:rPr>
          <w:rFonts w:hint="eastAsia" w:ascii="宋体" w:hAnsi="宋体" w:cs="宋体"/>
          <w:color w:val="auto"/>
          <w:sz w:val="22"/>
          <w:highlight w:val="none"/>
        </w:rPr>
      </w:pPr>
    </w:p>
    <w:p w14:paraId="7A2C827C">
      <w:pPr>
        <w:numPr>
          <w:ilvl w:val="0"/>
          <w:numId w:val="12"/>
        </w:numPr>
        <w:rPr>
          <w:rFonts w:hint="eastAsia" w:ascii="宋体" w:hAnsi="宋体" w:cs="宋体"/>
          <w:color w:val="auto"/>
          <w:sz w:val="22"/>
          <w:highlight w:val="none"/>
        </w:rPr>
      </w:pPr>
      <w:bookmarkStart w:id="63" w:name="_Toc73521554"/>
      <w:bookmarkStart w:id="64" w:name="_Toc73521642"/>
      <w:bookmarkStart w:id="65" w:name="_Toc73518124"/>
      <w:bookmarkStart w:id="66" w:name="_Toc60560632"/>
      <w:bookmarkStart w:id="67" w:name="_Toc73517646"/>
      <w:bookmarkStart w:id="68" w:name="_Toc100052371"/>
      <w:bookmarkStart w:id="69" w:name="_Toc60631627"/>
      <w:r>
        <w:rPr>
          <w:rFonts w:hint="eastAsia" w:ascii="宋体" w:hAnsi="宋体" w:cs="宋体"/>
          <w:color w:val="auto"/>
          <w:sz w:val="22"/>
          <w:highlight w:val="none"/>
        </w:rPr>
        <w:t>踏勘现场</w:t>
      </w:r>
      <w:bookmarkEnd w:id="63"/>
      <w:bookmarkEnd w:id="64"/>
      <w:bookmarkEnd w:id="65"/>
      <w:bookmarkEnd w:id="66"/>
      <w:bookmarkEnd w:id="67"/>
      <w:bookmarkEnd w:id="68"/>
      <w:bookmarkEnd w:id="69"/>
    </w:p>
    <w:p w14:paraId="786346EC">
      <w:pPr>
        <w:numPr>
          <w:ilvl w:val="1"/>
          <w:numId w:val="13"/>
        </w:numPr>
        <w:rPr>
          <w:rFonts w:hint="eastAsia" w:ascii="宋体" w:hAnsi="宋体" w:cs="宋体"/>
          <w:color w:val="auto"/>
          <w:sz w:val="22"/>
          <w:highlight w:val="none"/>
        </w:rPr>
      </w:pPr>
      <w:bookmarkStart w:id="70" w:name="_Toc78260681"/>
      <w:bookmarkStart w:id="71" w:name="_Toc100052372"/>
      <w:r>
        <w:rPr>
          <w:rFonts w:hint="eastAsia" w:ascii="宋体" w:hAnsi="宋体" w:cs="宋体"/>
          <w:color w:val="auto"/>
          <w:sz w:val="22"/>
          <w:highlight w:val="none"/>
        </w:rPr>
        <w:t>如有需要，政府采购代理机构或采购单位将组织投标人对项目现场及周围环境进行踏勘，以便投标人获取有关编制投标文件和签署合同所需的所有资料。踏勘现场所发生的费用由投标人自己承担，投标人应按采购公告所约定的时间、地点统一踏勘现场。</w:t>
      </w:r>
    </w:p>
    <w:p w14:paraId="3C2EB5F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投标人及其人员经过采购单位的允许，可以踏勘目的进入采购单位的项目现场。若本项目采购文件要求投标人于统一时间地点踏勘现场的，投标人应当按时前往。</w:t>
      </w:r>
    </w:p>
    <w:p w14:paraId="18149B2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采购单位必须通过政府采购代理机构向投标人提供有关现场的资料和数据。</w:t>
      </w:r>
    </w:p>
    <w:p w14:paraId="4EE0F4A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任何人或任何组织在踏勘现场时向投标人提交的任何书面或口头上的资料，未经政府采购代理机构在网上发布或书面通知，均作无效处理。政府采购代理机构对投标人由此而做出的推论、理解和结论概不负责。</w:t>
      </w:r>
    </w:p>
    <w:p w14:paraId="29A83263">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未参与现场踏勘不作为否定投标人资格的理由。</w:t>
      </w:r>
    </w:p>
    <w:p w14:paraId="3C0D51E3">
      <w:pPr>
        <w:ind w:left="907"/>
        <w:rPr>
          <w:rFonts w:hint="eastAsia" w:ascii="宋体" w:hAnsi="宋体" w:cs="宋体"/>
          <w:color w:val="auto"/>
          <w:sz w:val="22"/>
          <w:highlight w:val="none"/>
        </w:rPr>
      </w:pPr>
    </w:p>
    <w:p w14:paraId="3C56D57F">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招标</w:t>
      </w:r>
      <w:bookmarkEnd w:id="70"/>
      <w:r>
        <w:rPr>
          <w:rFonts w:hint="eastAsia" w:ascii="宋体" w:hAnsi="宋体" w:cs="宋体"/>
          <w:color w:val="auto"/>
          <w:sz w:val="22"/>
          <w:highlight w:val="none"/>
        </w:rPr>
        <w:t>答疑</w:t>
      </w:r>
      <w:bookmarkEnd w:id="71"/>
    </w:p>
    <w:p w14:paraId="32C0922D">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招标答疑的目的是澄清、解答投标人在查阅采购文件后或现场踏勘中可能提出的与投标有关的疑问或询问。</w:t>
      </w:r>
    </w:p>
    <w:p w14:paraId="251EACB1">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投标人提出的与投标有关的问题须在采购文件规定的答疑截止时间前以网上提问形式提交给政府采购代理机构。</w:t>
      </w:r>
    </w:p>
    <w:p w14:paraId="242A297E">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政府采购代理机构对疑问所做出的澄清和解答，以书面答复（包括网站发布信息）为准。答疑纪要的有效性规定按照本通用条款第13.3、13.4款规定执行。</w:t>
      </w:r>
    </w:p>
    <w:p w14:paraId="209F6FF5">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如政府采购代理机构认为有必要组织现场答疑会，投标人应按照采购文件规定的时间或政府采购代理机构另行书面通知（包括网站发布的通知）的时间和地点，参与现场答疑会。</w:t>
      </w:r>
    </w:p>
    <w:p w14:paraId="1C0F7103">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未参与招标答疑不作为否定投标人资格的理由。</w:t>
      </w:r>
    </w:p>
    <w:p w14:paraId="1F775682">
      <w:pPr>
        <w:rPr>
          <w:color w:val="auto"/>
          <w:highlight w:val="none"/>
        </w:rPr>
      </w:pPr>
      <w:r>
        <w:rPr>
          <w:color w:val="auto"/>
          <w:highlight w:val="none"/>
        </w:rPr>
        <w:br w:type="page"/>
      </w:r>
      <w:bookmarkStart w:id="72" w:name="bt招标文件"/>
      <w:bookmarkEnd w:id="72"/>
      <w:bookmarkStart w:id="73" w:name="_Toc73518126"/>
      <w:bookmarkStart w:id="74" w:name="_Toc73517648"/>
      <w:bookmarkStart w:id="75" w:name="_Toc73521556"/>
      <w:bookmarkStart w:id="76" w:name="_Toc100052373"/>
      <w:bookmarkStart w:id="77" w:name="_Toc73521644"/>
      <w:bookmarkStart w:id="78" w:name="_Toc101074878"/>
    </w:p>
    <w:p w14:paraId="4CBA66B7">
      <w:pPr>
        <w:rPr>
          <w:color w:val="auto"/>
          <w:highlight w:val="none"/>
        </w:rPr>
      </w:pPr>
    </w:p>
    <w:p w14:paraId="326DD3FF">
      <w:pPr>
        <w:rPr>
          <w:color w:val="auto"/>
          <w:highlight w:val="none"/>
        </w:rPr>
      </w:pPr>
    </w:p>
    <w:p w14:paraId="1ED5BAB9">
      <w:pPr>
        <w:rPr>
          <w:color w:val="auto"/>
          <w:highlight w:val="none"/>
        </w:rPr>
      </w:pPr>
    </w:p>
    <w:p w14:paraId="6087CEFE">
      <w:pPr>
        <w:rPr>
          <w:color w:val="auto"/>
          <w:highlight w:val="none"/>
        </w:rPr>
      </w:pPr>
    </w:p>
    <w:p w14:paraId="5EC345D4">
      <w:pPr>
        <w:rPr>
          <w:color w:val="auto"/>
          <w:highlight w:val="none"/>
        </w:rPr>
      </w:pPr>
    </w:p>
    <w:p w14:paraId="55FF0DEB">
      <w:pPr>
        <w:rPr>
          <w:color w:val="auto"/>
          <w:highlight w:val="none"/>
        </w:rPr>
      </w:pPr>
    </w:p>
    <w:p w14:paraId="33B63967">
      <w:pPr>
        <w:rPr>
          <w:color w:val="auto"/>
          <w:highlight w:val="none"/>
        </w:rPr>
      </w:pPr>
    </w:p>
    <w:p w14:paraId="3E58D5B5">
      <w:pPr>
        <w:rPr>
          <w:color w:val="auto"/>
          <w:highlight w:val="none"/>
        </w:rPr>
      </w:pPr>
    </w:p>
    <w:p w14:paraId="1EEAE8F1">
      <w:pPr>
        <w:rPr>
          <w:color w:val="auto"/>
          <w:highlight w:val="none"/>
        </w:rPr>
      </w:pPr>
    </w:p>
    <w:p w14:paraId="62C8CAFF">
      <w:pPr>
        <w:rPr>
          <w:color w:val="auto"/>
          <w:highlight w:val="none"/>
        </w:rPr>
      </w:pPr>
    </w:p>
    <w:p w14:paraId="411A8729">
      <w:pPr>
        <w:rPr>
          <w:color w:val="auto"/>
          <w:highlight w:val="none"/>
        </w:rPr>
      </w:pPr>
    </w:p>
    <w:p w14:paraId="14A9ACFC">
      <w:pPr>
        <w:rPr>
          <w:color w:val="auto"/>
          <w:highlight w:val="none"/>
        </w:rPr>
      </w:pPr>
    </w:p>
    <w:p w14:paraId="2ED9D42C">
      <w:pPr>
        <w:rPr>
          <w:color w:val="auto"/>
          <w:highlight w:val="none"/>
        </w:rPr>
      </w:pPr>
    </w:p>
    <w:p w14:paraId="7D50DC23">
      <w:pPr>
        <w:rPr>
          <w:color w:val="auto"/>
          <w:highlight w:val="none"/>
        </w:rPr>
      </w:pPr>
    </w:p>
    <w:p w14:paraId="1F2DDB9F">
      <w:pPr>
        <w:rPr>
          <w:color w:val="auto"/>
          <w:highlight w:val="none"/>
        </w:rPr>
      </w:pPr>
    </w:p>
    <w:p w14:paraId="276DF10F">
      <w:pPr>
        <w:jc w:val="center"/>
        <w:rPr>
          <w:color w:val="auto"/>
          <w:szCs w:val="28"/>
          <w:highlight w:val="none"/>
        </w:rPr>
      </w:pPr>
      <w:r>
        <w:rPr>
          <w:b/>
          <w:bCs/>
          <w:color w:val="auto"/>
          <w:kern w:val="28"/>
          <w:sz w:val="44"/>
          <w:szCs w:val="44"/>
          <w:highlight w:val="none"/>
        </w:rPr>
        <w:t>第二章  采购文件</w:t>
      </w:r>
      <w:r>
        <w:rPr>
          <w:b/>
          <w:bCs/>
          <w:color w:val="auto"/>
          <w:kern w:val="28"/>
          <w:sz w:val="44"/>
          <w:szCs w:val="44"/>
          <w:highlight w:val="none"/>
        </w:rPr>
        <w:br w:type="page"/>
      </w:r>
      <w:bookmarkEnd w:id="73"/>
      <w:bookmarkEnd w:id="74"/>
      <w:bookmarkEnd w:id="75"/>
      <w:bookmarkEnd w:id="76"/>
      <w:bookmarkEnd w:id="77"/>
      <w:bookmarkEnd w:id="78"/>
    </w:p>
    <w:p w14:paraId="5167FBBB">
      <w:pPr>
        <w:rPr>
          <w:color w:val="auto"/>
          <w:highlight w:val="none"/>
        </w:rPr>
      </w:pPr>
    </w:p>
    <w:p w14:paraId="09E1E592">
      <w:pPr>
        <w:numPr>
          <w:ilvl w:val="0"/>
          <w:numId w:val="12"/>
        </w:numPr>
        <w:rPr>
          <w:rFonts w:hint="eastAsia" w:ascii="宋体" w:hAnsi="宋体" w:cs="宋体"/>
          <w:color w:val="auto"/>
          <w:sz w:val="22"/>
          <w:highlight w:val="none"/>
        </w:rPr>
      </w:pPr>
      <w:bookmarkStart w:id="79" w:name="_Toc100052374"/>
      <w:bookmarkStart w:id="80" w:name="_Toc73521557"/>
      <w:bookmarkStart w:id="81" w:name="_Toc73517649"/>
      <w:bookmarkStart w:id="82" w:name="_Toc73518127"/>
      <w:bookmarkStart w:id="83" w:name="_Toc73521645"/>
      <w:r>
        <w:rPr>
          <w:rFonts w:hint="eastAsia" w:ascii="宋体" w:hAnsi="宋体" w:cs="宋体"/>
          <w:color w:val="auto"/>
          <w:sz w:val="22"/>
          <w:highlight w:val="none"/>
        </w:rPr>
        <w:t>采购文件的编制与组成</w:t>
      </w:r>
      <w:bookmarkEnd w:id="79"/>
      <w:bookmarkEnd w:id="80"/>
      <w:bookmarkEnd w:id="81"/>
      <w:bookmarkEnd w:id="82"/>
      <w:bookmarkEnd w:id="83"/>
    </w:p>
    <w:p w14:paraId="05535A38">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采购文件除以下内容外，政府采购代理机构在招标（或谈判）期间发出的答疑纪要和其他补充修改函件，均是采购文件的组成部分，对投标人起约束作用；</w:t>
      </w:r>
    </w:p>
    <w:p w14:paraId="74FE0894">
      <w:pPr>
        <w:ind w:left="907"/>
        <w:rPr>
          <w:rFonts w:hint="eastAsia" w:ascii="宋体" w:hAnsi="宋体" w:cs="宋体"/>
          <w:color w:val="auto"/>
          <w:sz w:val="22"/>
          <w:highlight w:val="none"/>
        </w:rPr>
      </w:pPr>
      <w:r>
        <w:rPr>
          <w:rFonts w:hint="eastAsia" w:ascii="宋体" w:hAnsi="宋体" w:cs="宋体"/>
          <w:color w:val="auto"/>
          <w:sz w:val="22"/>
          <w:highlight w:val="none"/>
        </w:rPr>
        <w:t>采购文件包括下列内容：</w:t>
      </w:r>
    </w:p>
    <w:p w14:paraId="1EAAA2B9">
      <w:pPr>
        <w:ind w:left="907"/>
        <w:rPr>
          <w:rFonts w:hint="eastAsia" w:ascii="宋体" w:hAnsi="宋体" w:cs="宋体"/>
          <w:b/>
          <w:color w:val="auto"/>
          <w:sz w:val="22"/>
          <w:highlight w:val="none"/>
        </w:rPr>
      </w:pPr>
      <w:r>
        <w:rPr>
          <w:rFonts w:hint="eastAsia" w:ascii="宋体" w:hAnsi="宋体" w:cs="宋体"/>
          <w:b/>
          <w:color w:val="auto"/>
          <w:sz w:val="22"/>
          <w:highlight w:val="none"/>
        </w:rPr>
        <w:t>第一册  专用条款</w:t>
      </w:r>
    </w:p>
    <w:p w14:paraId="51BBF4E3">
      <w:pPr>
        <w:ind w:left="907"/>
        <w:rPr>
          <w:rFonts w:hint="eastAsia" w:ascii="宋体" w:hAnsi="宋体" w:cs="宋体"/>
          <w:b/>
          <w:color w:val="auto"/>
          <w:sz w:val="22"/>
          <w:highlight w:val="none"/>
        </w:rPr>
      </w:pPr>
      <w:r>
        <w:rPr>
          <w:rFonts w:hint="eastAsia" w:ascii="宋体" w:hAnsi="宋体" w:cs="宋体"/>
          <w:b/>
          <w:color w:val="auto"/>
          <w:sz w:val="22"/>
          <w:highlight w:val="none"/>
        </w:rPr>
        <w:t>关键信息</w:t>
      </w:r>
    </w:p>
    <w:p w14:paraId="4BF4FE43">
      <w:pPr>
        <w:ind w:left="907"/>
        <w:rPr>
          <w:rFonts w:hint="eastAsia" w:ascii="宋体" w:hAnsi="宋体" w:cs="宋体"/>
          <w:color w:val="auto"/>
          <w:sz w:val="22"/>
          <w:highlight w:val="none"/>
        </w:rPr>
      </w:pPr>
      <w:r>
        <w:rPr>
          <w:rFonts w:hint="eastAsia" w:ascii="宋体" w:hAnsi="宋体" w:cs="宋体"/>
          <w:color w:val="auto"/>
          <w:sz w:val="22"/>
          <w:highlight w:val="none"/>
        </w:rPr>
        <w:t>第一章  招标公告</w:t>
      </w:r>
    </w:p>
    <w:p w14:paraId="2508E9C6">
      <w:pPr>
        <w:ind w:left="907"/>
        <w:rPr>
          <w:rFonts w:hint="eastAsia" w:ascii="宋体" w:hAnsi="宋体" w:cs="宋体"/>
          <w:color w:val="auto"/>
          <w:sz w:val="22"/>
          <w:highlight w:val="none"/>
        </w:rPr>
      </w:pPr>
      <w:r>
        <w:rPr>
          <w:rFonts w:hint="eastAsia" w:ascii="宋体" w:hAnsi="宋体" w:cs="宋体"/>
          <w:color w:val="auto"/>
          <w:sz w:val="22"/>
          <w:highlight w:val="none"/>
        </w:rPr>
        <w:t>第二章  招标项目需求</w:t>
      </w:r>
    </w:p>
    <w:p w14:paraId="0AD7B80B">
      <w:pPr>
        <w:ind w:left="907"/>
        <w:rPr>
          <w:rFonts w:hint="eastAsia" w:ascii="宋体" w:hAnsi="宋体" w:cs="宋体"/>
          <w:color w:val="auto"/>
          <w:sz w:val="22"/>
          <w:highlight w:val="none"/>
        </w:rPr>
      </w:pPr>
      <w:r>
        <w:rPr>
          <w:rFonts w:hint="eastAsia" w:ascii="宋体" w:hAnsi="宋体" w:cs="宋体"/>
          <w:color w:val="auto"/>
          <w:sz w:val="22"/>
          <w:highlight w:val="none"/>
        </w:rPr>
        <w:t>第三章  合同条款及格式</w:t>
      </w:r>
    </w:p>
    <w:p w14:paraId="68CEB74A">
      <w:pPr>
        <w:ind w:left="907"/>
        <w:rPr>
          <w:rFonts w:hint="eastAsia" w:ascii="宋体" w:hAnsi="宋体" w:cs="宋体"/>
          <w:color w:val="auto"/>
          <w:sz w:val="22"/>
          <w:highlight w:val="none"/>
        </w:rPr>
      </w:pPr>
      <w:r>
        <w:rPr>
          <w:rFonts w:hint="eastAsia" w:ascii="宋体" w:hAnsi="宋体" w:cs="宋体"/>
          <w:color w:val="auto"/>
          <w:sz w:val="22"/>
          <w:highlight w:val="none"/>
        </w:rPr>
        <w:t>第四章  投标文件格式、附件</w:t>
      </w:r>
    </w:p>
    <w:p w14:paraId="38A04626">
      <w:pPr>
        <w:ind w:left="907"/>
        <w:rPr>
          <w:rFonts w:hint="eastAsia" w:ascii="宋体" w:hAnsi="宋体" w:cs="宋体"/>
          <w:color w:val="auto"/>
          <w:sz w:val="22"/>
          <w:highlight w:val="none"/>
        </w:rPr>
      </w:pPr>
      <w:r>
        <w:rPr>
          <w:rFonts w:hint="eastAsia" w:ascii="宋体" w:hAnsi="宋体" w:cs="宋体"/>
          <w:color w:val="auto"/>
          <w:sz w:val="22"/>
          <w:highlight w:val="none"/>
        </w:rPr>
        <w:t>第五章  政府采购履约情况反馈表</w:t>
      </w:r>
    </w:p>
    <w:p w14:paraId="3F930912">
      <w:pPr>
        <w:ind w:left="907"/>
        <w:rPr>
          <w:rFonts w:hint="eastAsia" w:ascii="宋体" w:hAnsi="宋体" w:cs="宋体"/>
          <w:b/>
          <w:color w:val="auto"/>
          <w:sz w:val="22"/>
          <w:highlight w:val="none"/>
        </w:rPr>
      </w:pPr>
      <w:r>
        <w:rPr>
          <w:rFonts w:hint="eastAsia" w:ascii="宋体" w:hAnsi="宋体" w:cs="宋体"/>
          <w:b/>
          <w:color w:val="auto"/>
          <w:sz w:val="22"/>
          <w:highlight w:val="none"/>
        </w:rPr>
        <w:t>第二册  通用条款</w:t>
      </w:r>
    </w:p>
    <w:p w14:paraId="542FDE1B">
      <w:pPr>
        <w:ind w:left="907"/>
        <w:rPr>
          <w:rFonts w:hint="eastAsia" w:ascii="宋体" w:hAnsi="宋体" w:cs="宋体"/>
          <w:color w:val="auto"/>
          <w:sz w:val="22"/>
          <w:highlight w:val="none"/>
        </w:rPr>
      </w:pPr>
      <w:r>
        <w:rPr>
          <w:rFonts w:hint="eastAsia" w:ascii="宋体" w:hAnsi="宋体" w:cs="宋体"/>
          <w:color w:val="auto"/>
          <w:sz w:val="22"/>
          <w:highlight w:val="none"/>
        </w:rPr>
        <w:t>第一章  总则</w:t>
      </w:r>
    </w:p>
    <w:p w14:paraId="175F71D4">
      <w:pPr>
        <w:ind w:left="907"/>
        <w:rPr>
          <w:rFonts w:hint="eastAsia" w:ascii="宋体" w:hAnsi="宋体" w:cs="宋体"/>
          <w:color w:val="auto"/>
          <w:sz w:val="22"/>
          <w:highlight w:val="none"/>
        </w:rPr>
      </w:pPr>
      <w:r>
        <w:rPr>
          <w:rFonts w:hint="eastAsia" w:ascii="宋体" w:hAnsi="宋体" w:cs="宋体"/>
          <w:color w:val="auto"/>
          <w:sz w:val="22"/>
          <w:highlight w:val="none"/>
        </w:rPr>
        <w:t>第二章  采购文件</w:t>
      </w:r>
    </w:p>
    <w:p w14:paraId="5D18638A">
      <w:pPr>
        <w:ind w:left="907"/>
        <w:rPr>
          <w:rFonts w:hint="eastAsia" w:ascii="宋体" w:hAnsi="宋体" w:cs="宋体"/>
          <w:color w:val="auto"/>
          <w:sz w:val="22"/>
          <w:highlight w:val="none"/>
        </w:rPr>
      </w:pPr>
      <w:r>
        <w:rPr>
          <w:rFonts w:hint="eastAsia" w:ascii="宋体" w:hAnsi="宋体" w:cs="宋体"/>
          <w:color w:val="auto"/>
          <w:sz w:val="22"/>
          <w:highlight w:val="none"/>
        </w:rPr>
        <w:t>第三章  投标文件的编制</w:t>
      </w:r>
    </w:p>
    <w:p w14:paraId="1706CD4D">
      <w:pPr>
        <w:ind w:left="907"/>
        <w:rPr>
          <w:rFonts w:hint="eastAsia" w:ascii="宋体" w:hAnsi="宋体" w:cs="宋体"/>
          <w:color w:val="auto"/>
          <w:sz w:val="22"/>
          <w:highlight w:val="none"/>
        </w:rPr>
      </w:pPr>
      <w:r>
        <w:rPr>
          <w:rFonts w:hint="eastAsia" w:ascii="宋体" w:hAnsi="宋体" w:cs="宋体"/>
          <w:color w:val="auto"/>
          <w:sz w:val="22"/>
          <w:highlight w:val="none"/>
        </w:rPr>
        <w:t>第四章  投标文件的递交</w:t>
      </w:r>
    </w:p>
    <w:p w14:paraId="0DE7C364">
      <w:pPr>
        <w:ind w:left="907"/>
        <w:rPr>
          <w:rFonts w:hint="eastAsia" w:ascii="宋体" w:hAnsi="宋体" w:cs="宋体"/>
          <w:color w:val="auto"/>
          <w:sz w:val="22"/>
          <w:highlight w:val="none"/>
        </w:rPr>
      </w:pPr>
      <w:r>
        <w:rPr>
          <w:rFonts w:hint="eastAsia" w:ascii="宋体" w:hAnsi="宋体" w:cs="宋体"/>
          <w:color w:val="auto"/>
          <w:sz w:val="22"/>
          <w:highlight w:val="none"/>
        </w:rPr>
        <w:t>第五章  开标</w:t>
      </w:r>
    </w:p>
    <w:p w14:paraId="5B6D7E92">
      <w:pPr>
        <w:ind w:left="907"/>
        <w:rPr>
          <w:rFonts w:hint="eastAsia" w:ascii="宋体" w:hAnsi="宋体" w:cs="宋体"/>
          <w:color w:val="auto"/>
          <w:sz w:val="22"/>
          <w:highlight w:val="none"/>
        </w:rPr>
      </w:pPr>
      <w:r>
        <w:rPr>
          <w:rFonts w:hint="eastAsia" w:ascii="宋体" w:hAnsi="宋体" w:cs="宋体"/>
          <w:color w:val="auto"/>
          <w:sz w:val="22"/>
          <w:highlight w:val="none"/>
        </w:rPr>
        <w:t>第六章  评标要求</w:t>
      </w:r>
    </w:p>
    <w:p w14:paraId="33248D82">
      <w:pPr>
        <w:ind w:left="907"/>
        <w:rPr>
          <w:rFonts w:hint="eastAsia" w:ascii="宋体" w:hAnsi="宋体" w:cs="宋体"/>
          <w:color w:val="auto"/>
          <w:sz w:val="22"/>
          <w:highlight w:val="none"/>
        </w:rPr>
      </w:pPr>
      <w:r>
        <w:rPr>
          <w:rFonts w:hint="eastAsia" w:ascii="宋体" w:hAnsi="宋体" w:cs="宋体"/>
          <w:color w:val="auto"/>
          <w:sz w:val="22"/>
          <w:highlight w:val="none"/>
        </w:rPr>
        <w:t>第七章  评标程序及评标方法</w:t>
      </w:r>
    </w:p>
    <w:p w14:paraId="7C1C0453">
      <w:pPr>
        <w:ind w:left="907"/>
        <w:rPr>
          <w:rFonts w:hint="eastAsia" w:ascii="宋体" w:hAnsi="宋体" w:cs="宋体"/>
          <w:color w:val="auto"/>
          <w:sz w:val="22"/>
          <w:highlight w:val="none"/>
        </w:rPr>
      </w:pPr>
      <w:r>
        <w:rPr>
          <w:rFonts w:hint="eastAsia" w:ascii="宋体" w:hAnsi="宋体" w:cs="宋体"/>
          <w:color w:val="auto"/>
          <w:sz w:val="22"/>
          <w:highlight w:val="none"/>
        </w:rPr>
        <w:t>第八章  定标及公示</w:t>
      </w:r>
    </w:p>
    <w:p w14:paraId="45D4212C">
      <w:pPr>
        <w:ind w:left="907"/>
        <w:rPr>
          <w:rFonts w:hint="eastAsia" w:ascii="宋体" w:hAnsi="宋体" w:cs="宋体"/>
          <w:color w:val="auto"/>
          <w:sz w:val="22"/>
          <w:highlight w:val="none"/>
        </w:rPr>
      </w:pPr>
      <w:r>
        <w:rPr>
          <w:rFonts w:hint="eastAsia" w:ascii="宋体" w:hAnsi="宋体" w:cs="宋体"/>
          <w:color w:val="auto"/>
          <w:sz w:val="22"/>
          <w:highlight w:val="none"/>
        </w:rPr>
        <w:t>第九章  公开招标失败的后续处理</w:t>
      </w:r>
    </w:p>
    <w:p w14:paraId="39C584C6">
      <w:pPr>
        <w:ind w:left="907"/>
        <w:rPr>
          <w:rFonts w:hint="eastAsia" w:ascii="宋体" w:hAnsi="宋体" w:cs="宋体"/>
          <w:color w:val="auto"/>
          <w:sz w:val="22"/>
          <w:highlight w:val="none"/>
        </w:rPr>
      </w:pPr>
      <w:r>
        <w:rPr>
          <w:rFonts w:hint="eastAsia" w:ascii="宋体" w:hAnsi="宋体" w:cs="宋体"/>
          <w:color w:val="auto"/>
          <w:sz w:val="22"/>
          <w:highlight w:val="none"/>
        </w:rPr>
        <w:t>第十章  合同的授予与备案</w:t>
      </w:r>
    </w:p>
    <w:p w14:paraId="0DB4EB81">
      <w:pPr>
        <w:pStyle w:val="42"/>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第十一章  质疑处理</w:t>
      </w:r>
    </w:p>
    <w:p w14:paraId="136885C9">
      <w:pPr>
        <w:pStyle w:val="42"/>
        <w:ind w:firstLine="442"/>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第三册   附件</w:t>
      </w:r>
    </w:p>
    <w:p w14:paraId="0670C145">
      <w:pPr>
        <w:pStyle w:val="42"/>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一、财政部 工业和信息化部关于印发《政府采购促进中小企业发展管理办法》的通知</w:t>
      </w:r>
    </w:p>
    <w:p w14:paraId="492C80CD">
      <w:pPr>
        <w:pStyle w:val="42"/>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二、关于印发中小企业划型标准规定的通知</w:t>
      </w:r>
    </w:p>
    <w:p w14:paraId="36A9EBE0">
      <w:pPr>
        <w:pStyle w:val="42"/>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三、国家统计局关于印发《统计上大中小微型企业划分办法 （2017）》的通知</w:t>
      </w:r>
    </w:p>
    <w:p w14:paraId="71D6B396">
      <w:pPr>
        <w:pStyle w:val="42"/>
        <w:ind w:firstLine="440"/>
        <w:rPr>
          <w:color w:val="auto"/>
          <w:highlight w:val="none"/>
        </w:rPr>
      </w:pPr>
      <w:r>
        <w:rPr>
          <w:rFonts w:hint="eastAsia" w:ascii="宋体" w:hAnsi="宋体" w:cs="宋体"/>
          <w:color w:val="auto"/>
          <w:sz w:val="22"/>
          <w:szCs w:val="22"/>
          <w:highlight w:val="none"/>
        </w:rPr>
        <w:t>四、财政部 民政部 中国残疾人联合会关于促进残疾人就业 政府采购政策的通知</w:t>
      </w:r>
    </w:p>
    <w:p w14:paraId="1A303AB4">
      <w:pPr>
        <w:ind w:left="907"/>
        <w:rPr>
          <w:rFonts w:hint="eastAsia" w:ascii="宋体" w:hAnsi="宋体" w:cs="宋体"/>
          <w:color w:val="auto"/>
          <w:sz w:val="22"/>
          <w:highlight w:val="none"/>
        </w:rPr>
      </w:pPr>
    </w:p>
    <w:p w14:paraId="1DBD73E3">
      <w:pPr>
        <w:numPr>
          <w:ilvl w:val="1"/>
          <w:numId w:val="13"/>
        </w:numPr>
        <w:rPr>
          <w:rFonts w:hint="eastAsia" w:ascii="宋体" w:hAnsi="宋体" w:cs="宋体"/>
          <w:color w:val="auto"/>
          <w:sz w:val="22"/>
          <w:highlight w:val="none"/>
        </w:rPr>
      </w:pPr>
      <w:bookmarkStart w:id="84" w:name="_Toc60560636"/>
      <w:bookmarkStart w:id="85" w:name="_Toc73517650"/>
      <w:bookmarkStart w:id="86" w:name="_Toc60631631"/>
      <w:bookmarkStart w:id="87" w:name="_Toc73521646"/>
      <w:bookmarkStart w:id="88" w:name="_Toc100052375"/>
      <w:bookmarkStart w:id="89" w:name="_Toc73521558"/>
      <w:bookmarkStart w:id="90" w:name="_Toc73518128"/>
      <w:bookmarkStart w:id="91" w:name="_Toc100052376"/>
      <w:bookmarkStart w:id="92" w:name="_Toc73521647"/>
      <w:bookmarkStart w:id="93" w:name="_Toc60631632"/>
      <w:bookmarkStart w:id="94" w:name="_Toc60560637"/>
      <w:bookmarkStart w:id="95" w:name="_Toc73517651"/>
      <w:bookmarkStart w:id="96" w:name="_Toc73518129"/>
      <w:bookmarkStart w:id="97" w:name="_Toc73521559"/>
      <w:r>
        <w:rPr>
          <w:rFonts w:hint="eastAsia" w:ascii="宋体" w:hAnsi="宋体" w:cs="宋体"/>
          <w:color w:val="auto"/>
          <w:sz w:val="22"/>
          <w:highlight w:val="none"/>
        </w:rPr>
        <w:t>投标人收到采购文件后，应仔细检查采购文件的所有内容，如有残缺应在答疑截止时间之前向政府采购代理机构提出，否则，由此引起的投标损失自负；投标人同时应认真审阅采购文件所有的事项、格式、条款和规范要求等，如果投标人的投标文件没有按采购文件要求提交全部资料或者投标文件没有对采购文件做出实质性响应，其风险应由投标人自行承担，并根据有关条款规定，其投标有可能被拒绝。</w:t>
      </w:r>
    </w:p>
    <w:p w14:paraId="7B196162">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任何人或任何组织向投标人提交的任何书面或口头资料，未经政府采购代理机构在网上发布或书面通知，均作无效处理，不得作为采购文件的组成部分。政府采购代理机构对投标人由此而做出的推论、理解和结论概不负责。</w:t>
      </w:r>
    </w:p>
    <w:p w14:paraId="651A2F2F">
      <w:pPr>
        <w:ind w:left="907"/>
        <w:rPr>
          <w:rFonts w:hint="eastAsia" w:ascii="宋体" w:hAnsi="宋体" w:cs="宋体"/>
          <w:color w:val="auto"/>
          <w:sz w:val="22"/>
          <w:highlight w:val="none"/>
        </w:rPr>
      </w:pPr>
    </w:p>
    <w:p w14:paraId="1A59D2BE">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采购文件的澄清</w:t>
      </w:r>
      <w:bookmarkEnd w:id="84"/>
      <w:bookmarkEnd w:id="85"/>
      <w:bookmarkEnd w:id="86"/>
      <w:bookmarkEnd w:id="87"/>
      <w:bookmarkEnd w:id="88"/>
      <w:bookmarkEnd w:id="89"/>
      <w:bookmarkEnd w:id="90"/>
    </w:p>
    <w:p w14:paraId="7E492461">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任何要求对采购文件进行澄清的潜在投标人，均应以书面形式通知采购代理机构和采购人。采购代理机构对其在投标截止期五日以前收到的对招标文件的澄清要求均以书面形式予以答复，同时将书面答复以13.2所述方式发给每个购买招标文件的潜在投标人(答复中不包括问题的来源)。</w:t>
      </w:r>
    </w:p>
    <w:p w14:paraId="43A3E29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对于没有提出澄清又参与了该项目投标的供应商将被视为完全认同该采购文件（含澄清纪要），投标截止期后不再受理针对采购文件的相关质疑或投诉。</w:t>
      </w:r>
    </w:p>
    <w:p w14:paraId="427FEF19">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对采购文件中描述有歧意或前后不一致的地方，评审委员会有权进行评判，但对同一条款的评判应适用于每个投标人。</w:t>
      </w:r>
    </w:p>
    <w:p w14:paraId="70D8BC09">
      <w:pPr>
        <w:ind w:left="907"/>
        <w:rPr>
          <w:rFonts w:hint="eastAsia" w:ascii="宋体" w:hAnsi="宋体" w:cs="宋体"/>
          <w:color w:val="auto"/>
          <w:sz w:val="22"/>
          <w:highlight w:val="none"/>
        </w:rPr>
      </w:pPr>
    </w:p>
    <w:p w14:paraId="5B278369">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采购文件的修改</w:t>
      </w:r>
      <w:bookmarkEnd w:id="91"/>
      <w:bookmarkEnd w:id="92"/>
      <w:bookmarkEnd w:id="93"/>
      <w:bookmarkEnd w:id="94"/>
      <w:bookmarkEnd w:id="95"/>
      <w:bookmarkEnd w:id="96"/>
      <w:bookmarkEnd w:id="97"/>
    </w:p>
    <w:p w14:paraId="21F0BAB7">
      <w:pPr>
        <w:numPr>
          <w:ilvl w:val="1"/>
          <w:numId w:val="13"/>
        </w:numPr>
        <w:rPr>
          <w:rFonts w:hint="eastAsia" w:ascii="宋体" w:hAnsi="宋体" w:cs="宋体"/>
          <w:color w:val="auto"/>
          <w:sz w:val="22"/>
          <w:highlight w:val="none"/>
        </w:rPr>
      </w:pPr>
      <w:bookmarkStart w:id="98" w:name="bt投标文件"/>
      <w:bookmarkEnd w:id="98"/>
      <w:bookmarkStart w:id="99" w:name="_Toc73521560"/>
      <w:bookmarkStart w:id="100" w:name="_Toc73517652"/>
      <w:bookmarkStart w:id="101" w:name="_Toc73518130"/>
      <w:bookmarkStart w:id="102" w:name="_Toc100052377"/>
      <w:bookmarkStart w:id="103" w:name="_Toc73521648"/>
      <w:bookmarkStart w:id="104" w:name="_Toc101074879"/>
      <w:r>
        <w:rPr>
          <w:rFonts w:hint="eastAsia" w:ascii="宋体" w:hAnsi="宋体" w:cs="宋体"/>
          <w:color w:val="auto"/>
          <w:sz w:val="22"/>
          <w:highlight w:val="none"/>
        </w:rPr>
        <w:t>采购代理机构和采购人可主动地或在解答潜在投标人提出的澄清问题时对采购文件进行修改。</w:t>
      </w:r>
    </w:p>
    <w:p w14:paraId="17DEA7C6">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采购文件的修改是采购文件的组成部分，采购文件的修改在深圳市东海国际招标有限公司官网(http：//www.szdhit.com)以网上公告形式发布，并对投标人具有约束力，招标期间，投标人有义务上网查看，公告一经上网发布，即视为送达。</w:t>
      </w:r>
    </w:p>
    <w:p w14:paraId="3EB50E5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为使投标人准备投标时有充分时间对采购文件的修改部分进行研究，采购代理机构和采购人可适当推迟投标截止期。</w:t>
      </w:r>
    </w:p>
    <w:p w14:paraId="3CA23A0C">
      <w:pPr>
        <w:rPr>
          <w:color w:val="auto"/>
          <w:highlight w:val="none"/>
        </w:rPr>
      </w:pPr>
    </w:p>
    <w:p w14:paraId="45C7EDC9">
      <w:pPr>
        <w:rPr>
          <w:color w:val="auto"/>
          <w:highlight w:val="none"/>
        </w:rPr>
      </w:pPr>
      <w:r>
        <w:rPr>
          <w:color w:val="auto"/>
          <w:highlight w:val="none"/>
        </w:rPr>
        <w:br w:type="page"/>
      </w:r>
    </w:p>
    <w:p w14:paraId="72B3892C">
      <w:pPr>
        <w:rPr>
          <w:color w:val="auto"/>
          <w:highlight w:val="none"/>
        </w:rPr>
      </w:pPr>
    </w:p>
    <w:p w14:paraId="3570671A">
      <w:pPr>
        <w:rPr>
          <w:color w:val="auto"/>
          <w:highlight w:val="none"/>
        </w:rPr>
      </w:pPr>
    </w:p>
    <w:p w14:paraId="334FD993">
      <w:pPr>
        <w:rPr>
          <w:color w:val="auto"/>
          <w:highlight w:val="none"/>
        </w:rPr>
      </w:pPr>
    </w:p>
    <w:p w14:paraId="1D99B171">
      <w:pPr>
        <w:rPr>
          <w:color w:val="auto"/>
          <w:highlight w:val="none"/>
        </w:rPr>
      </w:pPr>
    </w:p>
    <w:p w14:paraId="382AD89A">
      <w:pPr>
        <w:rPr>
          <w:color w:val="auto"/>
          <w:highlight w:val="none"/>
        </w:rPr>
      </w:pPr>
    </w:p>
    <w:p w14:paraId="76BF4BD2">
      <w:pPr>
        <w:rPr>
          <w:color w:val="auto"/>
          <w:highlight w:val="none"/>
        </w:rPr>
      </w:pPr>
    </w:p>
    <w:p w14:paraId="7956DD64">
      <w:pPr>
        <w:rPr>
          <w:color w:val="auto"/>
          <w:highlight w:val="none"/>
        </w:rPr>
      </w:pPr>
    </w:p>
    <w:p w14:paraId="0105BD50">
      <w:pPr>
        <w:rPr>
          <w:color w:val="auto"/>
          <w:highlight w:val="none"/>
        </w:rPr>
      </w:pPr>
    </w:p>
    <w:p w14:paraId="0D14840C">
      <w:pPr>
        <w:rPr>
          <w:color w:val="auto"/>
          <w:highlight w:val="none"/>
        </w:rPr>
      </w:pPr>
    </w:p>
    <w:p w14:paraId="432A4785">
      <w:pPr>
        <w:rPr>
          <w:color w:val="auto"/>
          <w:highlight w:val="none"/>
        </w:rPr>
      </w:pPr>
    </w:p>
    <w:p w14:paraId="1C9FCEFC">
      <w:pPr>
        <w:rPr>
          <w:color w:val="auto"/>
          <w:highlight w:val="none"/>
        </w:rPr>
      </w:pPr>
    </w:p>
    <w:p w14:paraId="661E8058">
      <w:pPr>
        <w:rPr>
          <w:color w:val="auto"/>
          <w:highlight w:val="none"/>
        </w:rPr>
      </w:pPr>
    </w:p>
    <w:p w14:paraId="2EC3E5EF">
      <w:pPr>
        <w:rPr>
          <w:color w:val="auto"/>
          <w:highlight w:val="none"/>
        </w:rPr>
      </w:pPr>
    </w:p>
    <w:p w14:paraId="1496A396">
      <w:pPr>
        <w:rPr>
          <w:color w:val="auto"/>
          <w:highlight w:val="none"/>
        </w:rPr>
      </w:pPr>
    </w:p>
    <w:p w14:paraId="7C267BAA">
      <w:pPr>
        <w:rPr>
          <w:color w:val="auto"/>
          <w:highlight w:val="none"/>
        </w:rPr>
      </w:pPr>
    </w:p>
    <w:p w14:paraId="344B17CF">
      <w:pPr>
        <w:pStyle w:val="3"/>
        <w:rPr>
          <w:color w:val="auto"/>
          <w:szCs w:val="28"/>
          <w:highlight w:val="none"/>
        </w:rPr>
      </w:pPr>
      <w:r>
        <w:rPr>
          <w:b w:val="0"/>
          <w:bCs/>
          <w:color w:val="auto"/>
          <w:kern w:val="28"/>
          <w:sz w:val="44"/>
          <w:szCs w:val="44"/>
          <w:highlight w:val="none"/>
        </w:rPr>
        <w:t>第三章  投标文件的编制</w:t>
      </w:r>
      <w:r>
        <w:rPr>
          <w:b w:val="0"/>
          <w:bCs/>
          <w:color w:val="auto"/>
          <w:kern w:val="28"/>
          <w:sz w:val="44"/>
          <w:szCs w:val="44"/>
          <w:highlight w:val="none"/>
        </w:rPr>
        <w:br w:type="page"/>
      </w:r>
      <w:bookmarkEnd w:id="99"/>
      <w:bookmarkEnd w:id="100"/>
      <w:bookmarkEnd w:id="101"/>
      <w:bookmarkEnd w:id="102"/>
      <w:bookmarkEnd w:id="103"/>
      <w:bookmarkEnd w:id="104"/>
    </w:p>
    <w:p w14:paraId="411C83D9">
      <w:pPr>
        <w:rPr>
          <w:color w:val="auto"/>
          <w:highlight w:val="none"/>
        </w:rPr>
      </w:pPr>
    </w:p>
    <w:p w14:paraId="7CA165BA">
      <w:pPr>
        <w:numPr>
          <w:ilvl w:val="0"/>
          <w:numId w:val="12"/>
        </w:numPr>
        <w:rPr>
          <w:rFonts w:hint="eastAsia" w:ascii="宋体" w:hAnsi="宋体" w:cs="宋体"/>
          <w:color w:val="auto"/>
          <w:sz w:val="22"/>
          <w:highlight w:val="none"/>
        </w:rPr>
      </w:pPr>
      <w:bookmarkStart w:id="105" w:name="_Toc73517653"/>
      <w:bookmarkStart w:id="106" w:name="_Toc73518131"/>
      <w:bookmarkStart w:id="107" w:name="_Toc73521561"/>
      <w:bookmarkStart w:id="108" w:name="_Toc100052378"/>
      <w:bookmarkStart w:id="109" w:name="_Toc60631634"/>
      <w:bookmarkStart w:id="110" w:name="_Toc60560639"/>
      <w:bookmarkStart w:id="111" w:name="_Toc73521649"/>
      <w:r>
        <w:rPr>
          <w:rFonts w:hint="eastAsia" w:ascii="宋体" w:hAnsi="宋体" w:cs="宋体"/>
          <w:color w:val="auto"/>
          <w:sz w:val="22"/>
          <w:highlight w:val="none"/>
        </w:rPr>
        <w:t>投标文件的语言及度量单位</w:t>
      </w:r>
      <w:bookmarkEnd w:id="105"/>
      <w:bookmarkEnd w:id="106"/>
      <w:bookmarkEnd w:id="107"/>
      <w:bookmarkEnd w:id="108"/>
      <w:bookmarkEnd w:id="109"/>
      <w:bookmarkEnd w:id="110"/>
      <w:bookmarkEnd w:id="111"/>
    </w:p>
    <w:p w14:paraId="3182D57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与政府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637034F4">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除技术规范另有规定外，投标文件使用的度量单位，均采用中华人民共和国法定计量单位。</w:t>
      </w:r>
    </w:p>
    <w:p w14:paraId="76C12F07">
      <w:pPr>
        <w:ind w:left="907"/>
        <w:rPr>
          <w:rFonts w:hint="eastAsia" w:ascii="宋体" w:hAnsi="宋体" w:cs="宋体"/>
          <w:color w:val="auto"/>
          <w:sz w:val="22"/>
          <w:highlight w:val="none"/>
        </w:rPr>
      </w:pPr>
    </w:p>
    <w:p w14:paraId="16AFBE17">
      <w:pPr>
        <w:numPr>
          <w:ilvl w:val="0"/>
          <w:numId w:val="12"/>
        </w:numPr>
        <w:rPr>
          <w:rFonts w:hint="eastAsia" w:ascii="宋体" w:hAnsi="宋体" w:cs="宋体"/>
          <w:color w:val="auto"/>
          <w:sz w:val="22"/>
          <w:highlight w:val="none"/>
        </w:rPr>
      </w:pPr>
      <w:bookmarkStart w:id="112" w:name="_Toc60560640"/>
      <w:bookmarkStart w:id="113" w:name="_Toc73517654"/>
      <w:bookmarkStart w:id="114" w:name="_Toc60631635"/>
      <w:bookmarkStart w:id="115" w:name="_Toc73521650"/>
      <w:bookmarkStart w:id="116" w:name="_Toc100052379"/>
      <w:bookmarkStart w:id="117" w:name="_Toc73521562"/>
      <w:bookmarkStart w:id="118" w:name="_Toc73518132"/>
      <w:r>
        <w:rPr>
          <w:rFonts w:hint="eastAsia" w:ascii="宋体" w:hAnsi="宋体" w:cs="宋体"/>
          <w:color w:val="auto"/>
          <w:sz w:val="22"/>
          <w:highlight w:val="none"/>
        </w:rPr>
        <w:t>投标文件的组成</w:t>
      </w:r>
      <w:bookmarkEnd w:id="112"/>
      <w:bookmarkEnd w:id="113"/>
      <w:bookmarkEnd w:id="114"/>
      <w:bookmarkEnd w:id="115"/>
      <w:bookmarkEnd w:id="116"/>
      <w:bookmarkEnd w:id="117"/>
      <w:bookmarkEnd w:id="118"/>
    </w:p>
    <w:p w14:paraId="2E7489E9">
      <w:pPr>
        <w:numPr>
          <w:ilvl w:val="0"/>
          <w:numId w:val="16"/>
        </w:numPr>
        <w:spacing w:line="360" w:lineRule="auto"/>
        <w:ind w:left="420"/>
        <w:rPr>
          <w:rFonts w:ascii="宋体" w:hAnsi="宋体" w:cs="宋体"/>
          <w:color w:val="auto"/>
          <w:sz w:val="22"/>
          <w:highlight w:val="none"/>
        </w:rPr>
      </w:pPr>
      <w:bookmarkStart w:id="119" w:name="投标文件的组成"/>
      <w:bookmarkStart w:id="120" w:name="_Toc73521651"/>
      <w:bookmarkStart w:id="121" w:name="_Toc73517655"/>
      <w:bookmarkStart w:id="122" w:name="_Toc60560641"/>
      <w:bookmarkStart w:id="123" w:name="_Toc73521563"/>
      <w:bookmarkStart w:id="124" w:name="_Toc73518133"/>
      <w:bookmarkStart w:id="125" w:name="_Toc60631636"/>
      <w:r>
        <w:rPr>
          <w:rFonts w:hint="eastAsia" w:ascii="宋体" w:hAnsi="宋体" w:cs="宋体"/>
          <w:color w:val="auto"/>
          <w:sz w:val="22"/>
          <w:highlight w:val="none"/>
        </w:rPr>
        <w:t>评标指引表</w:t>
      </w:r>
    </w:p>
    <w:p w14:paraId="5DB2C62E">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投标函及投标保证金交纳凭证</w:t>
      </w:r>
    </w:p>
    <w:p w14:paraId="1F7370E3">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政府采购投标及履约承诺函</w:t>
      </w:r>
    </w:p>
    <w:p w14:paraId="763BF1F9">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诚信承诺函</w:t>
      </w:r>
    </w:p>
    <w:p w14:paraId="50043CA8">
      <w:pPr>
        <w:numPr>
          <w:ilvl w:val="0"/>
          <w:numId w:val="16"/>
        </w:numPr>
        <w:spacing w:line="360" w:lineRule="auto"/>
        <w:ind w:left="420"/>
        <w:rPr>
          <w:rFonts w:hint="eastAsia" w:ascii="宋体" w:hAnsi="宋体" w:cs="宋体"/>
          <w:color w:val="auto"/>
          <w:sz w:val="22"/>
          <w:highlight w:val="none"/>
        </w:rPr>
      </w:pPr>
      <w:r>
        <w:rPr>
          <w:rFonts w:hint="eastAsia" w:ascii="宋体" w:hAnsi="宋体" w:cs="宋体"/>
          <w:color w:val="auto"/>
          <w:sz w:val="22"/>
          <w:highlight w:val="none"/>
        </w:rPr>
        <w:t>政府采购违法行为风险知悉确认书</w:t>
      </w:r>
    </w:p>
    <w:p w14:paraId="2A6A45D1">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法定代表人证明书</w:t>
      </w:r>
    </w:p>
    <w:p w14:paraId="566CEE7D">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法定代表人授权书</w:t>
      </w:r>
    </w:p>
    <w:p w14:paraId="119CD711">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招标代理服务费承诺函</w:t>
      </w:r>
    </w:p>
    <w:p w14:paraId="63404A86">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报价清单表</w:t>
      </w:r>
    </w:p>
    <w:p w14:paraId="5E03D600">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供应商情况介绍</w:t>
      </w:r>
    </w:p>
    <w:p w14:paraId="03FA12E1">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项目主要管理及技术人员情况</w:t>
      </w:r>
    </w:p>
    <w:p w14:paraId="0D09B3E9">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项目具体方案</w:t>
      </w:r>
    </w:p>
    <w:p w14:paraId="4D8F527C">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商务条款偏离表</w:t>
      </w:r>
    </w:p>
    <w:p w14:paraId="113DED7C">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服务条款偏离表</w:t>
      </w:r>
    </w:p>
    <w:p w14:paraId="0B5D4D24">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中小企业、残疾人福利性单位和监狱企业政策导向</w:t>
      </w:r>
    </w:p>
    <w:p w14:paraId="572B7EA9">
      <w:pPr>
        <w:numPr>
          <w:ilvl w:val="0"/>
          <w:numId w:val="16"/>
        </w:numPr>
        <w:spacing w:line="360" w:lineRule="auto"/>
        <w:ind w:left="420"/>
        <w:rPr>
          <w:rFonts w:ascii="宋体" w:hAnsi="宋体" w:cs="宋体"/>
          <w:color w:val="auto"/>
          <w:sz w:val="22"/>
          <w:highlight w:val="none"/>
        </w:rPr>
      </w:pPr>
      <w:r>
        <w:rPr>
          <w:rFonts w:hint="eastAsia" w:ascii="宋体" w:hAnsi="宋体" w:cs="宋体"/>
          <w:color w:val="auto"/>
          <w:sz w:val="22"/>
          <w:highlight w:val="none"/>
        </w:rPr>
        <w:t>招标文件要求的其他内容及投标人认为需要加以说明的其他内容</w:t>
      </w:r>
    </w:p>
    <w:p w14:paraId="7077893C">
      <w:pPr>
        <w:ind w:left="907"/>
        <w:rPr>
          <w:rFonts w:hint="eastAsia" w:ascii="宋体" w:hAnsi="宋体" w:cs="宋体"/>
          <w:color w:val="auto"/>
          <w:sz w:val="22"/>
          <w:highlight w:val="none"/>
        </w:rPr>
      </w:pPr>
      <w:r>
        <w:rPr>
          <w:rFonts w:hint="eastAsia" w:ascii="宋体" w:hAnsi="宋体" w:cs="宋体"/>
          <w:color w:val="auto"/>
          <w:sz w:val="22"/>
          <w:highlight w:val="none"/>
        </w:rPr>
        <w:t>上述文件须按顺序装订成册，并编制投标文件目录。</w:t>
      </w:r>
    </w:p>
    <w:p w14:paraId="4511ED3E">
      <w:pPr>
        <w:ind w:left="907"/>
        <w:rPr>
          <w:rFonts w:hint="eastAsia" w:ascii="宋体" w:hAnsi="宋体" w:cs="宋体"/>
          <w:color w:val="auto"/>
          <w:sz w:val="22"/>
          <w:highlight w:val="none"/>
        </w:rPr>
      </w:pPr>
      <w:r>
        <w:rPr>
          <w:rFonts w:hint="eastAsia" w:ascii="宋体" w:hAnsi="宋体" w:cs="宋体"/>
          <w:color w:val="auto"/>
          <w:sz w:val="22"/>
          <w:highlight w:val="none"/>
        </w:rPr>
        <w:t>除上述文件资料外还须按采购文件要求制作“开标文件”。“开标文件”作为投标文件的一部分，但须单独密封。</w:t>
      </w:r>
    </w:p>
    <w:p w14:paraId="47083080">
      <w:pPr>
        <w:ind w:left="907"/>
        <w:rPr>
          <w:rFonts w:hint="eastAsia" w:ascii="宋体" w:hAnsi="宋体" w:cs="宋体"/>
          <w:color w:val="auto"/>
          <w:sz w:val="22"/>
          <w:highlight w:val="none"/>
        </w:rPr>
      </w:pPr>
    </w:p>
    <w:bookmarkEnd w:id="119"/>
    <w:p w14:paraId="05736657">
      <w:pPr>
        <w:numPr>
          <w:ilvl w:val="0"/>
          <w:numId w:val="12"/>
        </w:numPr>
        <w:rPr>
          <w:rFonts w:hint="eastAsia" w:ascii="宋体" w:hAnsi="宋体" w:cs="宋体"/>
          <w:color w:val="auto"/>
          <w:sz w:val="22"/>
          <w:highlight w:val="none"/>
        </w:rPr>
      </w:pPr>
      <w:bookmarkStart w:id="126" w:name="_Toc100052380"/>
      <w:r>
        <w:rPr>
          <w:rFonts w:hint="eastAsia" w:ascii="宋体" w:hAnsi="宋体" w:cs="宋体"/>
          <w:color w:val="auto"/>
          <w:sz w:val="22"/>
          <w:highlight w:val="none"/>
        </w:rPr>
        <w:t>投标文件格式</w:t>
      </w:r>
      <w:bookmarkEnd w:id="120"/>
      <w:bookmarkEnd w:id="121"/>
      <w:bookmarkEnd w:id="122"/>
      <w:bookmarkEnd w:id="123"/>
      <w:bookmarkEnd w:id="124"/>
      <w:bookmarkEnd w:id="125"/>
      <w:bookmarkEnd w:id="126"/>
    </w:p>
    <w:p w14:paraId="7A309562">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投标文件包括本通用条款第15条中规定的内容。如采购文件提供了投标文件格式，则投标人提交的投标文件应毫无例外地使用采购文件所提供的相应格式（表格可以按同样格式扩展）。</w:t>
      </w:r>
      <w:bookmarkStart w:id="127" w:name="_Toc73517657"/>
      <w:bookmarkStart w:id="128" w:name="_Toc73521565"/>
      <w:bookmarkStart w:id="129" w:name="_Toc60560643"/>
      <w:bookmarkStart w:id="130" w:name="_Toc60631638"/>
      <w:bookmarkStart w:id="131" w:name="_Toc73521653"/>
      <w:bookmarkStart w:id="132" w:name="_Toc73518135"/>
    </w:p>
    <w:p w14:paraId="635AC62A">
      <w:pPr>
        <w:ind w:left="907"/>
        <w:rPr>
          <w:rFonts w:hint="eastAsia" w:ascii="宋体" w:hAnsi="宋体" w:cs="宋体"/>
          <w:color w:val="auto"/>
          <w:sz w:val="22"/>
          <w:highlight w:val="none"/>
        </w:rPr>
      </w:pPr>
    </w:p>
    <w:p w14:paraId="18E1D775">
      <w:pPr>
        <w:numPr>
          <w:ilvl w:val="0"/>
          <w:numId w:val="12"/>
        </w:numPr>
        <w:rPr>
          <w:rFonts w:hint="eastAsia" w:ascii="宋体" w:hAnsi="宋体" w:cs="宋体"/>
          <w:color w:val="auto"/>
          <w:sz w:val="22"/>
          <w:highlight w:val="none"/>
        </w:rPr>
      </w:pPr>
      <w:bookmarkStart w:id="133" w:name="_Toc100052382"/>
      <w:r>
        <w:rPr>
          <w:rFonts w:hint="eastAsia" w:ascii="宋体" w:hAnsi="宋体" w:cs="宋体"/>
          <w:color w:val="auto"/>
          <w:sz w:val="22"/>
          <w:highlight w:val="none"/>
        </w:rPr>
        <w:t>投标货币</w:t>
      </w:r>
      <w:bookmarkEnd w:id="127"/>
      <w:bookmarkEnd w:id="128"/>
      <w:bookmarkEnd w:id="129"/>
      <w:bookmarkEnd w:id="130"/>
      <w:bookmarkEnd w:id="131"/>
      <w:bookmarkEnd w:id="132"/>
      <w:bookmarkEnd w:id="133"/>
    </w:p>
    <w:p w14:paraId="68C27E84">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本项目的投标应以人民币计。</w:t>
      </w:r>
    </w:p>
    <w:p w14:paraId="49311B14">
      <w:pPr>
        <w:ind w:left="907"/>
        <w:rPr>
          <w:rFonts w:hint="eastAsia" w:ascii="宋体" w:hAnsi="宋体" w:cs="宋体"/>
          <w:color w:val="auto"/>
          <w:sz w:val="22"/>
          <w:highlight w:val="none"/>
        </w:rPr>
      </w:pPr>
    </w:p>
    <w:p w14:paraId="6D4F29EA">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证明投标文件投标技术方案的合格性和符合采购文件规定的文件要求</w:t>
      </w:r>
    </w:p>
    <w:p w14:paraId="03479258">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投标人应提交证明文件证明其投标技术方案项下的货物、工程和服务的合格性符合采购文件规定。该投标技术方案及其证明文件作为投标文件的一部分。</w:t>
      </w:r>
    </w:p>
    <w:p w14:paraId="3F249C1E">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提供证明投标技术方案与采购文件的要求相一致的文件，可以是文字资料、图纸、数据或数码照片、制造商公布的产品说明书、产品彩页和我国政府机构出具的产品检验和核准证件等，以证明投标人响应的真实性。它包括并应符合以下要求：</w:t>
      </w:r>
    </w:p>
    <w:p w14:paraId="0252450C">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主要技术指标和性能的详细说明。</w:t>
      </w:r>
    </w:p>
    <w:p w14:paraId="45CA7597">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投标产品从采购单位开始使用至采购文件中规定的周期内正常、连续地使用所必须的备件和专用工具清单，包括备件和专用工具的货源及现行价格。</w:t>
      </w:r>
    </w:p>
    <w:p w14:paraId="42959EBA">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对照采购文件技术规格，逐条说明投标技术方案已对采购单位的技术规格做出了实质性的响应，或申明与技术规格条文的偏差和例外。投标人应详细说明投标技术方案中产品的具体参数，不得以谋取中标为目的的照搬照抄采购文件的技术要求。</w:t>
      </w:r>
    </w:p>
    <w:p w14:paraId="7A01F2E1">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提供原件扫描件；</w:t>
      </w:r>
    </w:p>
    <w:p w14:paraId="1CC35C40">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我国政府机构出具的产品检验和核准证件应为证件正面、背面和附件标注的全部具体内容；产品检验和核准证件的尺寸和清晰度应该能够在电脑上被阅读、识别和判断，提供原件扫描件。</w:t>
      </w:r>
    </w:p>
    <w:p w14:paraId="2C26A41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相关资料不符合18.2款要求的，评审委员会有权认定为投标技术方案不合格响应，其相关分数予以扣减或作废标处理。</w:t>
      </w:r>
    </w:p>
    <w:p w14:paraId="16450147">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评审委员会有权对以谋取中标为目的的技术规格模糊响应（如有意照搬照抄采购文件的技术要求）或虚假响应予以认定。供应商上述行为一经发现或查实，除扣分或废标外，还可能被一并处以没收投标保证金的处罚，政府采购代理机构可视情况报政府采购监督管理部门做进一步处理。</w:t>
      </w:r>
    </w:p>
    <w:p w14:paraId="6B5E54E3">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在阐述上述第18.2时应注意采购单位在技术规格中指出的工艺、材料和设备的标准以及参照的牌号或分类号仅起说明作用，并没有任何限制性。投标人在投标中可以选用替代标准、牌号或分类号，但这些替代要实质上满足采购文件中技术规格的要求，是否满足要求，由评审委员会来评判。</w:t>
      </w:r>
    </w:p>
    <w:p w14:paraId="7251D363">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为保证公平公正，除非另有规定或说明，投标人对同一货物或服务投标时，不得同时提供两套或两套以上的投标方案。</w:t>
      </w:r>
    </w:p>
    <w:p w14:paraId="038E167C">
      <w:pPr>
        <w:ind w:left="907"/>
        <w:rPr>
          <w:rFonts w:hint="eastAsia" w:ascii="宋体" w:hAnsi="宋体" w:cs="宋体"/>
          <w:color w:val="auto"/>
          <w:sz w:val="22"/>
          <w:highlight w:val="none"/>
        </w:rPr>
      </w:pPr>
    </w:p>
    <w:p w14:paraId="0AF2C4FC">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投标文件其他证明文件的要求</w:t>
      </w:r>
    </w:p>
    <w:p w14:paraId="1677F5E1">
      <w:pPr>
        <w:numPr>
          <w:ilvl w:val="1"/>
          <w:numId w:val="13"/>
        </w:numPr>
        <w:rPr>
          <w:rFonts w:hint="eastAsia" w:ascii="宋体" w:hAnsi="宋体" w:cs="宋体"/>
          <w:color w:val="auto"/>
          <w:sz w:val="22"/>
          <w:highlight w:val="none"/>
        </w:rPr>
      </w:pPr>
      <w:bookmarkStart w:id="134" w:name="_Toc73517658"/>
      <w:bookmarkStart w:id="135" w:name="_Toc73518136"/>
      <w:bookmarkStart w:id="136" w:name="_Toc60631639"/>
      <w:bookmarkStart w:id="137" w:name="_Toc73521654"/>
      <w:bookmarkStart w:id="138" w:name="_Toc73521566"/>
      <w:bookmarkStart w:id="139" w:name="_Toc100052383"/>
      <w:bookmarkStart w:id="140" w:name="_Toc60560644"/>
      <w:r>
        <w:rPr>
          <w:rFonts w:hint="eastAsia" w:ascii="宋体" w:hAnsi="宋体" w:cs="宋体"/>
          <w:color w:val="auto"/>
          <w:sz w:val="22"/>
          <w:highlight w:val="none"/>
        </w:rPr>
        <w:t>对项目采购文件《评标信息》评分项中涉及的相关业绩、社保情况、纳税情况、银行资信等级和资金流状况等内容以及《投标文件初审表》中涉及的资格证书，投标人应提供相关部门出具的证明材料扫描件或照片（原件或复印件均可），原件备查。有关扫描件（或照片）的尺寸和清晰度应该能够在电脑上被阅读、识别和判断。若投标人未按要求提供证明材料或提供的是部分证明材料或提供不清晰的扫描件（或照片）的，评审委员会有权认定其投标文件未对采购文件有关需求进行响应，涉及资格性检查或符合性检查的予以废标处理，涉及《评标信息》打分项的则该项评分予以0分处理。</w:t>
      </w:r>
    </w:p>
    <w:p w14:paraId="70D6651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本项目涉及提供的有关资质证书，若原有资质证书处于年审期间，须提供证书颁发部门提供的回执，并且回执须证明该证书依然有效，则该投标人提供年审证明的可按原资质投标；若投标人正在申报上一级别资质，在未获批准之前，仍按原级别资质投标。</w:t>
      </w:r>
    </w:p>
    <w:p w14:paraId="011F4E18">
      <w:pPr>
        <w:ind w:left="907"/>
        <w:rPr>
          <w:rFonts w:hint="eastAsia" w:ascii="宋体" w:hAnsi="宋体" w:cs="宋体"/>
          <w:color w:val="auto"/>
          <w:sz w:val="22"/>
          <w:highlight w:val="none"/>
        </w:rPr>
      </w:pPr>
    </w:p>
    <w:p w14:paraId="6A0644FB">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投标有效期</w:t>
      </w:r>
      <w:bookmarkEnd w:id="134"/>
      <w:bookmarkEnd w:id="135"/>
      <w:bookmarkEnd w:id="136"/>
      <w:bookmarkEnd w:id="137"/>
      <w:bookmarkEnd w:id="138"/>
      <w:bookmarkEnd w:id="139"/>
      <w:bookmarkEnd w:id="140"/>
    </w:p>
    <w:p w14:paraId="2A726524">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投标有效期为从投标截止之日算起的日历天数，具体见专用条款中投标有效期的天数要求。在此期限内，所有投标文件均保持有效；</w:t>
      </w:r>
    </w:p>
    <w:p w14:paraId="1D6DE3C3">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在特殊的情况下，政府采购代理机构在原定的投标有效期满之前，政府采购代理机构可以根据需要以书面形式（包括网站公开发布方式）向投标人提出延长投标有效期的要求，对此要求投标人须以书面形式予以答复，投标人可以拒绝政府采购代理机构此项要求，而不被没收投标保证金，其投标在原投标有效期满后不再有效。同意延长投标有效期的投标人不能要求也不允许修改其投标文件，但应当相应的延长投标担保的有效期，在延长的投标有效期内本通用条款第21条关于投标保证金的退还与没收的规定仍然适用；</w:t>
      </w:r>
    </w:p>
    <w:p w14:paraId="7403CB46">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中标单位的投标书有效期，截止于完成本采购文件规定的全部项目内容，并通过竣工验收及保修结束。</w:t>
      </w:r>
    </w:p>
    <w:p w14:paraId="114C8395">
      <w:pPr>
        <w:ind w:left="907"/>
        <w:rPr>
          <w:rFonts w:hint="eastAsia" w:ascii="宋体" w:hAnsi="宋体" w:cs="宋体"/>
          <w:color w:val="auto"/>
          <w:sz w:val="22"/>
          <w:highlight w:val="none"/>
        </w:rPr>
      </w:pPr>
    </w:p>
    <w:p w14:paraId="3F1D04BE">
      <w:pPr>
        <w:numPr>
          <w:ilvl w:val="0"/>
          <w:numId w:val="12"/>
        </w:numPr>
        <w:rPr>
          <w:rFonts w:hint="eastAsia" w:ascii="宋体" w:hAnsi="宋体" w:cs="宋体"/>
          <w:color w:val="auto"/>
          <w:sz w:val="22"/>
          <w:highlight w:val="none"/>
        </w:rPr>
      </w:pPr>
      <w:bookmarkStart w:id="141" w:name="_Toc60631640"/>
      <w:bookmarkStart w:id="142" w:name="_Toc100052384"/>
      <w:bookmarkStart w:id="143" w:name="_Toc60560645"/>
      <w:bookmarkStart w:id="144" w:name="_Toc73517659"/>
      <w:bookmarkStart w:id="145" w:name="_Toc73521655"/>
      <w:bookmarkStart w:id="146" w:name="_Toc73521567"/>
      <w:bookmarkStart w:id="147" w:name="_Toc73518137"/>
      <w:r>
        <w:rPr>
          <w:rFonts w:hint="eastAsia" w:ascii="宋体" w:hAnsi="宋体" w:cs="宋体"/>
          <w:color w:val="auto"/>
          <w:sz w:val="22"/>
          <w:highlight w:val="none"/>
        </w:rPr>
        <w:t>投标</w:t>
      </w:r>
      <w:bookmarkEnd w:id="141"/>
      <w:bookmarkEnd w:id="142"/>
      <w:bookmarkEnd w:id="143"/>
      <w:bookmarkEnd w:id="144"/>
      <w:bookmarkEnd w:id="145"/>
      <w:bookmarkEnd w:id="146"/>
      <w:bookmarkEnd w:id="147"/>
      <w:r>
        <w:rPr>
          <w:rFonts w:hint="eastAsia" w:ascii="宋体" w:hAnsi="宋体" w:cs="宋体"/>
          <w:color w:val="auto"/>
          <w:sz w:val="22"/>
          <w:highlight w:val="none"/>
        </w:rPr>
        <w:t>保证金</w:t>
      </w:r>
    </w:p>
    <w:p w14:paraId="0132945A">
      <w:pPr>
        <w:numPr>
          <w:ilvl w:val="1"/>
          <w:numId w:val="13"/>
        </w:numPr>
        <w:rPr>
          <w:rFonts w:hint="eastAsia" w:ascii="宋体" w:hAnsi="宋体" w:cs="宋体"/>
          <w:color w:val="auto"/>
          <w:sz w:val="22"/>
          <w:highlight w:val="none"/>
        </w:rPr>
      </w:pPr>
      <w:bookmarkStart w:id="148" w:name="_Toc73518138"/>
      <w:bookmarkStart w:id="149" w:name="_Toc73521568"/>
      <w:bookmarkStart w:id="150" w:name="_Toc60631641"/>
      <w:bookmarkStart w:id="151" w:name="_Toc100052385"/>
      <w:bookmarkStart w:id="152" w:name="_Toc73517660"/>
      <w:bookmarkStart w:id="153" w:name="_Toc60560646"/>
      <w:bookmarkStart w:id="154" w:name="_Toc73521656"/>
      <w:r>
        <w:rPr>
          <w:rFonts w:hint="eastAsia" w:ascii="宋体" w:hAnsi="宋体" w:cs="宋体"/>
          <w:color w:val="auto"/>
          <w:sz w:val="22"/>
          <w:highlight w:val="none"/>
        </w:rPr>
        <w:t>投标保证金的缴纳：</w:t>
      </w:r>
    </w:p>
    <w:p w14:paraId="55AC3605">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投标保证金应当采用非现金形式交纳。</w:t>
      </w:r>
    </w:p>
    <w:p w14:paraId="09E71EDE">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若为重大项目，政府采购代理机构可自行决定另外收取投标保证金，不受21.1.1款限制。是否另外收取投标保证金，请见本采购文件专用条款《对通用条款的补充内容》中的相关要求。</w:t>
      </w:r>
    </w:p>
    <w:p w14:paraId="58A2B4E6">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投标保证金是为了保护政府采购代理机构和采购单位免因投标人的行为而蒙受损失。政府采购代理机构和采购单位因投标人的行为受到损害时可根据本通用条款第21.5款的规定没收投标人的投标保证金。</w:t>
      </w:r>
    </w:p>
    <w:p w14:paraId="21663BC7">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未中标的投标人的投标保证金，将于中标结果公告后五个工作日内无息退还投标人。</w:t>
      </w:r>
    </w:p>
    <w:p w14:paraId="263768BC">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中标人的投标保证金，在与采购人签订了合同，提交了履约保证金并交纳了招标代理服务费后予以无息退还。</w:t>
      </w:r>
    </w:p>
    <w:p w14:paraId="1BA58A5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如下列任何情况发生时，投标保证金将被没收。</w:t>
      </w:r>
    </w:p>
    <w:p w14:paraId="4DC195F3">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投标人在采购文件中规定的投标有效期内撤回其投标；</w:t>
      </w:r>
    </w:p>
    <w:p w14:paraId="372BA006">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中标人在规定期限内未能根据本项通用条款第47条规定签订合同；</w:t>
      </w:r>
    </w:p>
    <w:p w14:paraId="05FE9BF7">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投标人提供虚假投标文件或虚假补充文件：</w:t>
      </w:r>
    </w:p>
    <w:p w14:paraId="7008A349">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投标人以谋取中标为目的的技术规格模糊响应（如有意照搬照抄采购文件的技术要求）或虚假响应的；</w:t>
      </w:r>
    </w:p>
    <w:p w14:paraId="153E6AEC">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投标人质疑投诉提供虚假情况。</w:t>
      </w:r>
    </w:p>
    <w:p w14:paraId="15036DE8">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投标保证金账户信息：</w:t>
      </w:r>
    </w:p>
    <w:p w14:paraId="620DD428">
      <w:pPr>
        <w:spacing w:line="360" w:lineRule="exact"/>
        <w:ind w:firstLine="883" w:firstLineChars="400"/>
        <w:jc w:val="left"/>
        <w:rPr>
          <w:rFonts w:hint="eastAsia" w:ascii="宋体" w:hAnsi="宋体" w:cs="宋体"/>
          <w:b/>
          <w:bCs/>
          <w:color w:val="auto"/>
          <w:sz w:val="22"/>
          <w:highlight w:val="none"/>
        </w:rPr>
      </w:pPr>
      <w:r>
        <w:rPr>
          <w:rFonts w:hint="eastAsia" w:ascii="宋体" w:hAnsi="宋体" w:cs="宋体"/>
          <w:b/>
          <w:bCs/>
          <w:color w:val="auto"/>
          <w:sz w:val="22"/>
          <w:highlight w:val="none"/>
        </w:rPr>
        <w:t>开户行：中国建设银行深圳东乐支行</w:t>
      </w:r>
    </w:p>
    <w:p w14:paraId="1963F98D">
      <w:pPr>
        <w:spacing w:line="360" w:lineRule="exact"/>
        <w:ind w:firstLine="883" w:firstLineChars="400"/>
        <w:jc w:val="left"/>
        <w:rPr>
          <w:rFonts w:hint="eastAsia" w:ascii="宋体" w:hAnsi="宋体" w:cs="宋体"/>
          <w:b/>
          <w:bCs/>
          <w:color w:val="auto"/>
          <w:sz w:val="22"/>
          <w:highlight w:val="none"/>
        </w:rPr>
      </w:pPr>
      <w:r>
        <w:rPr>
          <w:rFonts w:hint="eastAsia" w:ascii="宋体" w:hAnsi="宋体" w:cs="宋体"/>
          <w:b/>
          <w:bCs/>
          <w:color w:val="auto"/>
          <w:sz w:val="22"/>
          <w:highlight w:val="none"/>
        </w:rPr>
        <w:t xml:space="preserve">户名：深圳市东海国际招标有限公司 </w:t>
      </w:r>
    </w:p>
    <w:p w14:paraId="1A09EA43">
      <w:pPr>
        <w:spacing w:line="360" w:lineRule="exact"/>
        <w:ind w:firstLine="883" w:firstLineChars="400"/>
        <w:jc w:val="left"/>
        <w:rPr>
          <w:rFonts w:hint="eastAsia" w:ascii="宋体" w:hAnsi="宋体" w:cs="宋体"/>
          <w:b/>
          <w:bCs/>
          <w:color w:val="auto"/>
          <w:sz w:val="22"/>
          <w:highlight w:val="none"/>
        </w:rPr>
      </w:pPr>
      <w:r>
        <w:rPr>
          <w:rFonts w:hint="eastAsia" w:ascii="宋体" w:hAnsi="宋体" w:cs="宋体"/>
          <w:b/>
          <w:bCs/>
          <w:color w:val="auto"/>
          <w:sz w:val="22"/>
          <w:highlight w:val="none"/>
        </w:rPr>
        <w:t xml:space="preserve">账号：4425 0100 0074 0000 0417 </w:t>
      </w:r>
    </w:p>
    <w:p w14:paraId="4281585E">
      <w:pPr>
        <w:ind w:left="907"/>
        <w:rPr>
          <w:rFonts w:hint="eastAsia" w:ascii="宋体" w:hAnsi="宋体" w:cs="宋体"/>
          <w:b/>
          <w:color w:val="auto"/>
          <w:sz w:val="22"/>
          <w:highlight w:val="none"/>
        </w:rPr>
      </w:pPr>
    </w:p>
    <w:p w14:paraId="293D3142">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投标人的替代方案</w:t>
      </w:r>
      <w:bookmarkEnd w:id="148"/>
      <w:bookmarkEnd w:id="149"/>
      <w:bookmarkEnd w:id="150"/>
      <w:bookmarkEnd w:id="151"/>
      <w:bookmarkEnd w:id="152"/>
      <w:bookmarkEnd w:id="153"/>
      <w:bookmarkEnd w:id="154"/>
    </w:p>
    <w:p w14:paraId="4E59544B">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投标人所提交的投标文件应完全满足采购文件（包括图纸和技术规范所示的基本技术设计）的要求。除非招标的项目明确允许投标人提交替代方案，否则投标人有关替代方案的条款将不予考虑。</w:t>
      </w:r>
    </w:p>
    <w:p w14:paraId="62011B1F">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如果允许投标人提交替代方案，则准备提交替代方案的投标人除应提交一份满足采购文件（包括图纸和技术规范所示的基本技术设计）要求的投标文件外，还应提交需评审其替代方案所需的全部资料，包括项目方案书、技术规范、替代方案报价书、所建议的项目方案及有关的其它详细资料。</w:t>
      </w:r>
    </w:p>
    <w:p w14:paraId="51428864">
      <w:pPr>
        <w:ind w:left="907"/>
        <w:rPr>
          <w:rFonts w:hint="eastAsia" w:ascii="宋体" w:hAnsi="宋体" w:cs="宋体"/>
          <w:color w:val="auto"/>
          <w:sz w:val="22"/>
          <w:highlight w:val="none"/>
        </w:rPr>
      </w:pPr>
    </w:p>
    <w:p w14:paraId="63A66F0E">
      <w:pPr>
        <w:numPr>
          <w:ilvl w:val="0"/>
          <w:numId w:val="12"/>
        </w:numPr>
        <w:rPr>
          <w:rFonts w:hint="eastAsia" w:ascii="宋体" w:hAnsi="宋体" w:cs="宋体"/>
          <w:color w:val="auto"/>
          <w:sz w:val="22"/>
          <w:highlight w:val="none"/>
        </w:rPr>
      </w:pPr>
      <w:bookmarkStart w:id="155" w:name="_Toc73521569"/>
      <w:bookmarkStart w:id="156" w:name="_Toc73518139"/>
      <w:bookmarkStart w:id="157" w:name="_Toc100052386"/>
      <w:bookmarkStart w:id="158" w:name="_Toc73521657"/>
      <w:bookmarkStart w:id="159" w:name="_Toc73517661"/>
      <w:r>
        <w:rPr>
          <w:rFonts w:hint="eastAsia" w:ascii="宋体" w:hAnsi="宋体" w:cs="宋体"/>
          <w:color w:val="auto"/>
          <w:sz w:val="22"/>
          <w:highlight w:val="none"/>
        </w:rPr>
        <w:t>投标文件的制作要求</w:t>
      </w:r>
      <w:bookmarkEnd w:id="155"/>
      <w:bookmarkEnd w:id="156"/>
      <w:bookmarkEnd w:id="157"/>
      <w:bookmarkEnd w:id="158"/>
      <w:bookmarkEnd w:id="159"/>
    </w:p>
    <w:p w14:paraId="4D6881F1">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投标人按照关键信息中要求的份数制作纸质投标文件及投标文件的电子文档。</w:t>
      </w:r>
    </w:p>
    <w:p w14:paraId="0E5E477E">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投标人按照采购文件提供的投标文件格式模板及要求编制投标文件。</w:t>
      </w:r>
    </w:p>
    <w:p w14:paraId="686DAA20">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投标人在利用投标文件格式模板编制投标书时须注意：</w:t>
      </w:r>
    </w:p>
    <w:p w14:paraId="45E8337C">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除模板要求填写或添加的内容外，不得对其他文字内容做任何改动。如果因操作失误而改动的，以模板中的文字叙述为准。</w:t>
      </w:r>
    </w:p>
    <w:p w14:paraId="62432178">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采购文件的编号、包号应与根据此招标制作的投标文件项目编号、包号一致。</w:t>
      </w:r>
      <w:bookmarkStart w:id="160" w:name="_Toc101074880"/>
      <w:bookmarkStart w:id="161" w:name="_Toc73521658"/>
      <w:bookmarkStart w:id="162" w:name="_Toc100052387"/>
      <w:bookmarkStart w:id="163" w:name="_Toc73521570"/>
      <w:bookmarkStart w:id="164" w:name="_Toc73518140"/>
      <w:bookmarkStart w:id="165" w:name="_Toc73517662"/>
    </w:p>
    <w:p w14:paraId="24493A67">
      <w:pPr>
        <w:rPr>
          <w:color w:val="auto"/>
          <w:highlight w:val="none"/>
        </w:rPr>
      </w:pPr>
    </w:p>
    <w:p w14:paraId="78AC1E48">
      <w:pPr>
        <w:rPr>
          <w:color w:val="auto"/>
          <w:highlight w:val="none"/>
        </w:rPr>
      </w:pPr>
      <w:r>
        <w:rPr>
          <w:color w:val="auto"/>
          <w:highlight w:val="none"/>
        </w:rPr>
        <w:br w:type="page"/>
      </w:r>
    </w:p>
    <w:p w14:paraId="73147682">
      <w:pPr>
        <w:rPr>
          <w:color w:val="auto"/>
          <w:highlight w:val="none"/>
        </w:rPr>
      </w:pPr>
    </w:p>
    <w:p w14:paraId="56E6F746">
      <w:pPr>
        <w:rPr>
          <w:color w:val="auto"/>
          <w:highlight w:val="none"/>
        </w:rPr>
      </w:pPr>
    </w:p>
    <w:p w14:paraId="43C84A7E">
      <w:pPr>
        <w:rPr>
          <w:color w:val="auto"/>
          <w:highlight w:val="none"/>
        </w:rPr>
      </w:pPr>
    </w:p>
    <w:p w14:paraId="0DB3090B">
      <w:pPr>
        <w:rPr>
          <w:color w:val="auto"/>
          <w:highlight w:val="none"/>
        </w:rPr>
      </w:pPr>
    </w:p>
    <w:p w14:paraId="579558D2">
      <w:pPr>
        <w:rPr>
          <w:color w:val="auto"/>
          <w:highlight w:val="none"/>
        </w:rPr>
      </w:pPr>
    </w:p>
    <w:p w14:paraId="1E0AF03D">
      <w:pPr>
        <w:rPr>
          <w:color w:val="auto"/>
          <w:highlight w:val="none"/>
        </w:rPr>
      </w:pPr>
    </w:p>
    <w:p w14:paraId="20F2F8A5">
      <w:pPr>
        <w:rPr>
          <w:color w:val="auto"/>
          <w:highlight w:val="none"/>
        </w:rPr>
      </w:pPr>
    </w:p>
    <w:p w14:paraId="22AF6AAB">
      <w:pPr>
        <w:rPr>
          <w:color w:val="auto"/>
          <w:highlight w:val="none"/>
        </w:rPr>
      </w:pPr>
    </w:p>
    <w:p w14:paraId="2167D605">
      <w:pPr>
        <w:rPr>
          <w:color w:val="auto"/>
          <w:highlight w:val="none"/>
        </w:rPr>
      </w:pPr>
    </w:p>
    <w:p w14:paraId="38359C65">
      <w:pPr>
        <w:rPr>
          <w:color w:val="auto"/>
          <w:highlight w:val="none"/>
        </w:rPr>
      </w:pPr>
    </w:p>
    <w:p w14:paraId="65C4EFD1">
      <w:pPr>
        <w:rPr>
          <w:color w:val="auto"/>
          <w:highlight w:val="none"/>
        </w:rPr>
      </w:pPr>
    </w:p>
    <w:p w14:paraId="3ACC1A1D">
      <w:pPr>
        <w:rPr>
          <w:color w:val="auto"/>
          <w:highlight w:val="none"/>
        </w:rPr>
      </w:pPr>
    </w:p>
    <w:p w14:paraId="5B6578F4">
      <w:pPr>
        <w:rPr>
          <w:color w:val="auto"/>
          <w:highlight w:val="none"/>
        </w:rPr>
      </w:pPr>
    </w:p>
    <w:p w14:paraId="7D542475">
      <w:pPr>
        <w:rPr>
          <w:color w:val="auto"/>
          <w:highlight w:val="none"/>
        </w:rPr>
      </w:pPr>
    </w:p>
    <w:p w14:paraId="4BE416A9">
      <w:pPr>
        <w:rPr>
          <w:color w:val="auto"/>
          <w:highlight w:val="none"/>
        </w:rPr>
      </w:pPr>
    </w:p>
    <w:p w14:paraId="2F769F1E">
      <w:pPr>
        <w:pStyle w:val="3"/>
        <w:rPr>
          <w:b w:val="0"/>
          <w:color w:val="auto"/>
          <w:szCs w:val="28"/>
          <w:highlight w:val="none"/>
        </w:rPr>
      </w:pPr>
      <w:r>
        <w:rPr>
          <w:b w:val="0"/>
          <w:bCs/>
          <w:color w:val="auto"/>
          <w:kern w:val="28"/>
          <w:sz w:val="44"/>
          <w:szCs w:val="44"/>
          <w:highlight w:val="none"/>
        </w:rPr>
        <w:t>第四章  投标文件的递交</w:t>
      </w:r>
      <w:r>
        <w:rPr>
          <w:b w:val="0"/>
          <w:bCs/>
          <w:color w:val="auto"/>
          <w:kern w:val="28"/>
          <w:sz w:val="44"/>
          <w:szCs w:val="44"/>
          <w:highlight w:val="none"/>
        </w:rPr>
        <w:br w:type="page"/>
      </w:r>
      <w:bookmarkEnd w:id="160"/>
      <w:bookmarkEnd w:id="161"/>
      <w:bookmarkEnd w:id="162"/>
      <w:bookmarkEnd w:id="163"/>
      <w:bookmarkEnd w:id="164"/>
      <w:bookmarkEnd w:id="165"/>
    </w:p>
    <w:p w14:paraId="46981EAE">
      <w:pPr>
        <w:rPr>
          <w:color w:val="auto"/>
          <w:highlight w:val="none"/>
        </w:rPr>
      </w:pPr>
    </w:p>
    <w:p w14:paraId="5521BCEC">
      <w:pPr>
        <w:numPr>
          <w:ilvl w:val="0"/>
          <w:numId w:val="12"/>
        </w:numPr>
        <w:ind w:left="950" w:hanging="950" w:hangingChars="432"/>
        <w:rPr>
          <w:rFonts w:hint="eastAsia" w:ascii="宋体" w:hAnsi="宋体" w:cs="宋体"/>
          <w:color w:val="auto"/>
          <w:sz w:val="22"/>
          <w:highlight w:val="none"/>
        </w:rPr>
      </w:pPr>
      <w:bookmarkStart w:id="166" w:name="_Toc60560649"/>
      <w:bookmarkStart w:id="167" w:name="_Toc73517663"/>
      <w:bookmarkStart w:id="168" w:name="_Toc73521659"/>
      <w:bookmarkStart w:id="169" w:name="_Toc100052388"/>
      <w:bookmarkStart w:id="170" w:name="_Toc60631644"/>
      <w:bookmarkStart w:id="171" w:name="_Toc73518141"/>
      <w:bookmarkStart w:id="172" w:name="_Toc73521571"/>
      <w:r>
        <w:rPr>
          <w:rFonts w:hint="eastAsia" w:ascii="宋体" w:hAnsi="宋体" w:cs="宋体"/>
          <w:color w:val="auto"/>
          <w:sz w:val="22"/>
          <w:highlight w:val="none"/>
        </w:rPr>
        <w:t>投标文件密封和标记</w:t>
      </w:r>
    </w:p>
    <w:p w14:paraId="0B57DD2D">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投标文件正本和副本、附有投标文件电子文档的光盘密封或U盘，并标明项目编号、包号（如分包的话）、项目名称及“正本”或“副本”，开标一览表和投标文件（含正本和副本）应分开独立密封包装。</w:t>
      </w:r>
    </w:p>
    <w:p w14:paraId="01A0D5E3">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投标人应将开标一览表和授权委托书单独密封提交，并在信封上标明“开标文件”字样。投标人的法定代表人参加投标时，须开具法定代表人证明书。</w:t>
      </w:r>
    </w:p>
    <w:p w14:paraId="50E89917">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密封包装上注明“在（开标日期、时间）前不得启封”的字样。</w:t>
      </w:r>
    </w:p>
    <w:p w14:paraId="1F457EB3">
      <w:pPr>
        <w:ind w:left="907"/>
        <w:rPr>
          <w:rFonts w:hint="eastAsia" w:ascii="宋体" w:hAnsi="宋体" w:cs="宋体"/>
          <w:color w:val="auto"/>
          <w:sz w:val="22"/>
          <w:highlight w:val="none"/>
        </w:rPr>
      </w:pPr>
    </w:p>
    <w:p w14:paraId="7CA7AC77">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投标截止日期</w:t>
      </w:r>
    </w:p>
    <w:p w14:paraId="3C74BC23">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投标人应在不迟于采购公告规定的截止日期和时间将投标文件递交至采购代理机构。</w:t>
      </w:r>
    </w:p>
    <w:p w14:paraId="13A1DADE">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采购代理机构可以通过修改采购文件自行决定酌情推迟投标截止期，在此情况下，采购代理机构、采购人和投标人受投标截止期制约的所有权利和义务均应延长至新的截止期。</w:t>
      </w:r>
    </w:p>
    <w:p w14:paraId="6425E3A8">
      <w:pPr>
        <w:ind w:left="907"/>
        <w:rPr>
          <w:rFonts w:hint="eastAsia" w:ascii="宋体" w:hAnsi="宋体" w:cs="宋体"/>
          <w:color w:val="auto"/>
          <w:sz w:val="22"/>
          <w:highlight w:val="none"/>
        </w:rPr>
      </w:pPr>
    </w:p>
    <w:p w14:paraId="47A7E555">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样品的递交</w:t>
      </w:r>
    </w:p>
    <w:p w14:paraId="473313C5">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如有必要，采购单位可以要求投标人提供样品。</w:t>
      </w:r>
    </w:p>
    <w:p w14:paraId="284FCCB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未中标供应商的样品将于招标结束后退还。中标供应商的样品由采购单位保留，作为验收的依据。</w:t>
      </w:r>
    </w:p>
    <w:p w14:paraId="6CC55D61">
      <w:pPr>
        <w:ind w:left="907"/>
        <w:rPr>
          <w:rFonts w:hint="eastAsia" w:ascii="宋体" w:hAnsi="宋体" w:cs="宋体"/>
          <w:color w:val="auto"/>
          <w:sz w:val="22"/>
          <w:highlight w:val="none"/>
        </w:rPr>
      </w:pPr>
    </w:p>
    <w:p w14:paraId="314D32FC">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投标文件的修改和撤销</w:t>
      </w:r>
    </w:p>
    <w:p w14:paraId="564FE94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投标方在提交投标文件后可对其投标文件进行修改并重新提交投标文件或撤销投标。</w:t>
      </w:r>
    </w:p>
    <w:p w14:paraId="6E149ECF">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投标截止时间以后不得修改投标文件。</w:t>
      </w:r>
    </w:p>
    <w:p w14:paraId="06046DD3">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从投标截止期至投标人在投标书中确定的投标有效期之间的这段时间内，投标人不得撤回其投标，否则其投标保证金将按照本通用条款的规定被没收。</w:t>
      </w:r>
    </w:p>
    <w:bookmarkEnd w:id="166"/>
    <w:bookmarkEnd w:id="167"/>
    <w:bookmarkEnd w:id="168"/>
    <w:bookmarkEnd w:id="169"/>
    <w:bookmarkEnd w:id="170"/>
    <w:bookmarkEnd w:id="171"/>
    <w:bookmarkEnd w:id="172"/>
    <w:p w14:paraId="0CA6D9C7">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政府采购代理机构不退还投标文件，另有规定的除外。</w:t>
      </w:r>
      <w:bookmarkStart w:id="173" w:name="_Toc101074881"/>
      <w:bookmarkStart w:id="174" w:name="_Toc73521574"/>
      <w:bookmarkStart w:id="175" w:name="_Toc73521662"/>
      <w:bookmarkStart w:id="176" w:name="_Toc73517666"/>
      <w:bookmarkStart w:id="177" w:name="_Toc73518144"/>
      <w:bookmarkStart w:id="178" w:name="_Toc100052391"/>
    </w:p>
    <w:p w14:paraId="15962DAE">
      <w:pPr>
        <w:rPr>
          <w:color w:val="auto"/>
          <w:highlight w:val="none"/>
        </w:rPr>
      </w:pPr>
    </w:p>
    <w:p w14:paraId="5D4B5955">
      <w:pPr>
        <w:rPr>
          <w:color w:val="auto"/>
          <w:highlight w:val="none"/>
        </w:rPr>
      </w:pPr>
      <w:r>
        <w:rPr>
          <w:color w:val="auto"/>
          <w:highlight w:val="none"/>
        </w:rPr>
        <w:br w:type="page"/>
      </w:r>
    </w:p>
    <w:p w14:paraId="519F8C52">
      <w:pPr>
        <w:rPr>
          <w:color w:val="auto"/>
          <w:highlight w:val="none"/>
        </w:rPr>
      </w:pPr>
    </w:p>
    <w:p w14:paraId="638B83C0">
      <w:pPr>
        <w:rPr>
          <w:color w:val="auto"/>
          <w:highlight w:val="none"/>
        </w:rPr>
      </w:pPr>
    </w:p>
    <w:p w14:paraId="3CEA7CA3">
      <w:pPr>
        <w:rPr>
          <w:color w:val="auto"/>
          <w:highlight w:val="none"/>
        </w:rPr>
      </w:pPr>
    </w:p>
    <w:p w14:paraId="141CA636">
      <w:pPr>
        <w:rPr>
          <w:color w:val="auto"/>
          <w:highlight w:val="none"/>
        </w:rPr>
      </w:pPr>
    </w:p>
    <w:p w14:paraId="5FB137B4">
      <w:pPr>
        <w:rPr>
          <w:color w:val="auto"/>
          <w:highlight w:val="none"/>
        </w:rPr>
      </w:pPr>
    </w:p>
    <w:p w14:paraId="1AF44E2B">
      <w:pPr>
        <w:rPr>
          <w:color w:val="auto"/>
          <w:highlight w:val="none"/>
        </w:rPr>
      </w:pPr>
    </w:p>
    <w:p w14:paraId="41174495">
      <w:pPr>
        <w:rPr>
          <w:color w:val="auto"/>
          <w:highlight w:val="none"/>
        </w:rPr>
      </w:pPr>
    </w:p>
    <w:p w14:paraId="42AF39EC">
      <w:pPr>
        <w:rPr>
          <w:color w:val="auto"/>
          <w:highlight w:val="none"/>
        </w:rPr>
      </w:pPr>
    </w:p>
    <w:p w14:paraId="08A0B355">
      <w:pPr>
        <w:rPr>
          <w:color w:val="auto"/>
          <w:highlight w:val="none"/>
        </w:rPr>
      </w:pPr>
    </w:p>
    <w:p w14:paraId="4A1ADB60">
      <w:pPr>
        <w:rPr>
          <w:color w:val="auto"/>
          <w:highlight w:val="none"/>
        </w:rPr>
      </w:pPr>
    </w:p>
    <w:p w14:paraId="22CBF0E0">
      <w:pPr>
        <w:rPr>
          <w:color w:val="auto"/>
          <w:highlight w:val="none"/>
        </w:rPr>
      </w:pPr>
    </w:p>
    <w:p w14:paraId="3EECCC48">
      <w:pPr>
        <w:rPr>
          <w:color w:val="auto"/>
          <w:highlight w:val="none"/>
        </w:rPr>
      </w:pPr>
    </w:p>
    <w:p w14:paraId="383CB12A">
      <w:pPr>
        <w:rPr>
          <w:color w:val="auto"/>
          <w:highlight w:val="none"/>
        </w:rPr>
      </w:pPr>
    </w:p>
    <w:p w14:paraId="0F2DCA7B">
      <w:pPr>
        <w:rPr>
          <w:color w:val="auto"/>
          <w:highlight w:val="none"/>
        </w:rPr>
      </w:pPr>
    </w:p>
    <w:p w14:paraId="49556682">
      <w:pPr>
        <w:pStyle w:val="3"/>
        <w:rPr>
          <w:color w:val="auto"/>
          <w:szCs w:val="28"/>
          <w:highlight w:val="none"/>
        </w:rPr>
      </w:pPr>
      <w:r>
        <w:rPr>
          <w:b w:val="0"/>
          <w:bCs/>
          <w:color w:val="auto"/>
          <w:kern w:val="28"/>
          <w:sz w:val="44"/>
          <w:szCs w:val="44"/>
          <w:highlight w:val="none"/>
        </w:rPr>
        <w:t>第五章  开标</w:t>
      </w:r>
      <w:r>
        <w:rPr>
          <w:b w:val="0"/>
          <w:bCs/>
          <w:color w:val="auto"/>
          <w:kern w:val="28"/>
          <w:sz w:val="44"/>
          <w:szCs w:val="44"/>
          <w:highlight w:val="none"/>
        </w:rPr>
        <w:br w:type="page"/>
      </w:r>
      <w:bookmarkEnd w:id="173"/>
      <w:bookmarkEnd w:id="174"/>
      <w:bookmarkEnd w:id="175"/>
      <w:bookmarkEnd w:id="176"/>
      <w:bookmarkEnd w:id="177"/>
      <w:bookmarkEnd w:id="178"/>
    </w:p>
    <w:p w14:paraId="1C0C2C6A">
      <w:pPr>
        <w:rPr>
          <w:color w:val="auto"/>
          <w:highlight w:val="none"/>
        </w:rPr>
      </w:pPr>
    </w:p>
    <w:p w14:paraId="0B72925A">
      <w:pPr>
        <w:numPr>
          <w:ilvl w:val="0"/>
          <w:numId w:val="12"/>
        </w:numPr>
        <w:ind w:left="950" w:hanging="950" w:hangingChars="432"/>
        <w:rPr>
          <w:rFonts w:hint="eastAsia" w:ascii="宋体" w:hAnsi="宋体" w:cs="宋体"/>
          <w:color w:val="auto"/>
          <w:sz w:val="22"/>
          <w:highlight w:val="none"/>
        </w:rPr>
      </w:pPr>
      <w:bookmarkStart w:id="179" w:name="_Toc60631650"/>
      <w:bookmarkStart w:id="180" w:name="_Toc73518145"/>
      <w:bookmarkStart w:id="181" w:name="_Toc100052392"/>
      <w:bookmarkStart w:id="182" w:name="_Toc73521575"/>
      <w:bookmarkStart w:id="183" w:name="_Toc73521663"/>
      <w:bookmarkStart w:id="184" w:name="_Toc60560655"/>
      <w:bookmarkStart w:id="185" w:name="_Toc73517667"/>
      <w:r>
        <w:rPr>
          <w:rFonts w:hint="eastAsia" w:ascii="宋体" w:hAnsi="宋体" w:cs="宋体"/>
          <w:color w:val="auto"/>
          <w:sz w:val="22"/>
          <w:highlight w:val="none"/>
        </w:rPr>
        <w:t>开标</w:t>
      </w:r>
      <w:bookmarkEnd w:id="179"/>
      <w:bookmarkEnd w:id="180"/>
      <w:bookmarkEnd w:id="181"/>
      <w:bookmarkEnd w:id="182"/>
      <w:bookmarkEnd w:id="183"/>
      <w:bookmarkEnd w:id="184"/>
      <w:bookmarkEnd w:id="185"/>
    </w:p>
    <w:p w14:paraId="43F3DAE1">
      <w:pPr>
        <w:numPr>
          <w:ilvl w:val="1"/>
          <w:numId w:val="13"/>
        </w:numPr>
        <w:ind w:left="950" w:hanging="950" w:hangingChars="432"/>
        <w:rPr>
          <w:rFonts w:hint="eastAsia" w:ascii="宋体" w:hAnsi="宋体" w:cs="宋体"/>
          <w:color w:val="auto"/>
          <w:sz w:val="22"/>
          <w:highlight w:val="none"/>
        </w:rPr>
      </w:pPr>
      <w:bookmarkStart w:id="186" w:name="bt评标"/>
      <w:bookmarkEnd w:id="186"/>
      <w:bookmarkStart w:id="187" w:name="_Toc73521576"/>
      <w:bookmarkStart w:id="188" w:name="_Toc101074882"/>
      <w:bookmarkStart w:id="189" w:name="_Toc73518146"/>
      <w:bookmarkStart w:id="190" w:name="_Toc100052393"/>
      <w:bookmarkStart w:id="191" w:name="_Toc73517668"/>
      <w:bookmarkStart w:id="192" w:name="_Toc73521664"/>
      <w:r>
        <w:rPr>
          <w:rFonts w:hint="eastAsia" w:ascii="宋体" w:hAnsi="宋体" w:cs="宋体"/>
          <w:color w:val="auto"/>
          <w:sz w:val="22"/>
          <w:highlight w:val="none"/>
        </w:rPr>
        <w:t>政府采购代理机构按采购公告规定的日期、时间和地点组织公开开标。投标人应派代表参加，参加开标的投标人代表签名报到以证明其出席。</w:t>
      </w:r>
    </w:p>
    <w:p w14:paraId="74561348">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开标时，采购代理机构当众宣读投标人名称、修改和撤回的通知、开标一览表的内容。</w:t>
      </w:r>
    </w:p>
    <w:p w14:paraId="13D576D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除了按照规定原封退回迟到的投标之外，开标时不得拒绝任何已报名购买采购文件的投标人的投标。</w:t>
      </w:r>
    </w:p>
    <w:p w14:paraId="0F02BE6C">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开标时没有启封和读出的投标文件，在评标时将不予考虑。没有启封和读出的投标文件将原封退回给投标人。</w:t>
      </w:r>
    </w:p>
    <w:p w14:paraId="53317EC2">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投标人对开标有异议的，应当在开标现场提出。采购代理机构将做开标记录，并要求出席有关人员签字确认。</w:t>
      </w:r>
    </w:p>
    <w:p w14:paraId="31F8642C">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公开招标采购项目开标结束后，采购人或者采购代理机构应当依法对投标人的资格进行审查。资格性检查：依据法律法规和采购文件的规定，对投标文件中的资格证明、投标保证金等进行审查，以确定投标供应商是否具备投标资格。</w:t>
      </w:r>
    </w:p>
    <w:p w14:paraId="5E536F9E">
      <w:pPr>
        <w:numPr>
          <w:ilvl w:val="1"/>
          <w:numId w:val="13"/>
        </w:numPr>
        <w:rPr>
          <w:rFonts w:hint="eastAsia" w:ascii="宋体" w:hAnsi="宋体" w:cs="宋体"/>
          <w:color w:val="auto"/>
          <w:sz w:val="22"/>
          <w:highlight w:val="none"/>
        </w:rPr>
      </w:pPr>
      <w:r>
        <w:rPr>
          <w:rFonts w:hint="eastAsia" w:ascii="宋体" w:hAnsi="宋体" w:cs="宋体"/>
          <w:color w:val="auto"/>
          <w:sz w:val="22"/>
          <w:highlight w:val="none"/>
        </w:rPr>
        <w:t>合格投标人不足3家的，不得评标。</w:t>
      </w:r>
    </w:p>
    <w:p w14:paraId="0FB2017C">
      <w:pPr>
        <w:rPr>
          <w:color w:val="auto"/>
          <w:highlight w:val="none"/>
        </w:rPr>
      </w:pPr>
      <w:r>
        <w:rPr>
          <w:color w:val="auto"/>
          <w:highlight w:val="none"/>
        </w:rPr>
        <w:br w:type="page"/>
      </w:r>
    </w:p>
    <w:p w14:paraId="6BD3BD40">
      <w:pPr>
        <w:rPr>
          <w:color w:val="auto"/>
          <w:highlight w:val="none"/>
        </w:rPr>
      </w:pPr>
    </w:p>
    <w:p w14:paraId="24B064D0">
      <w:pPr>
        <w:rPr>
          <w:color w:val="auto"/>
          <w:highlight w:val="none"/>
        </w:rPr>
      </w:pPr>
    </w:p>
    <w:p w14:paraId="36404CB4">
      <w:pPr>
        <w:rPr>
          <w:color w:val="auto"/>
          <w:highlight w:val="none"/>
        </w:rPr>
      </w:pPr>
    </w:p>
    <w:p w14:paraId="410F4A77">
      <w:pPr>
        <w:rPr>
          <w:color w:val="auto"/>
          <w:highlight w:val="none"/>
        </w:rPr>
      </w:pPr>
    </w:p>
    <w:p w14:paraId="7A42BAF7">
      <w:pPr>
        <w:rPr>
          <w:color w:val="auto"/>
          <w:highlight w:val="none"/>
        </w:rPr>
      </w:pPr>
    </w:p>
    <w:p w14:paraId="26631DF1">
      <w:pPr>
        <w:rPr>
          <w:color w:val="auto"/>
          <w:highlight w:val="none"/>
        </w:rPr>
      </w:pPr>
    </w:p>
    <w:p w14:paraId="5E2B85CF">
      <w:pPr>
        <w:rPr>
          <w:color w:val="auto"/>
          <w:highlight w:val="none"/>
        </w:rPr>
      </w:pPr>
    </w:p>
    <w:p w14:paraId="3AEA6D82">
      <w:pPr>
        <w:rPr>
          <w:color w:val="auto"/>
          <w:highlight w:val="none"/>
        </w:rPr>
      </w:pPr>
    </w:p>
    <w:p w14:paraId="45F194A7">
      <w:pPr>
        <w:rPr>
          <w:color w:val="auto"/>
          <w:highlight w:val="none"/>
        </w:rPr>
      </w:pPr>
    </w:p>
    <w:p w14:paraId="7226F29F">
      <w:pPr>
        <w:rPr>
          <w:color w:val="auto"/>
          <w:highlight w:val="none"/>
        </w:rPr>
      </w:pPr>
    </w:p>
    <w:p w14:paraId="66D94F66">
      <w:pPr>
        <w:rPr>
          <w:color w:val="auto"/>
          <w:highlight w:val="none"/>
        </w:rPr>
      </w:pPr>
    </w:p>
    <w:p w14:paraId="7BAFD36A">
      <w:pPr>
        <w:rPr>
          <w:color w:val="auto"/>
          <w:highlight w:val="none"/>
        </w:rPr>
      </w:pPr>
    </w:p>
    <w:p w14:paraId="3CDD7D96">
      <w:pPr>
        <w:rPr>
          <w:color w:val="auto"/>
          <w:highlight w:val="none"/>
        </w:rPr>
      </w:pPr>
    </w:p>
    <w:p w14:paraId="065EC295">
      <w:pPr>
        <w:rPr>
          <w:color w:val="auto"/>
          <w:highlight w:val="none"/>
        </w:rPr>
      </w:pPr>
    </w:p>
    <w:p w14:paraId="5DCFFC23">
      <w:pPr>
        <w:rPr>
          <w:color w:val="auto"/>
          <w:highlight w:val="none"/>
        </w:rPr>
      </w:pPr>
    </w:p>
    <w:p w14:paraId="1BE29169">
      <w:pPr>
        <w:pStyle w:val="3"/>
        <w:rPr>
          <w:color w:val="auto"/>
          <w:szCs w:val="28"/>
          <w:highlight w:val="none"/>
        </w:rPr>
      </w:pPr>
      <w:r>
        <w:rPr>
          <w:b w:val="0"/>
          <w:bCs/>
          <w:color w:val="auto"/>
          <w:kern w:val="28"/>
          <w:sz w:val="44"/>
          <w:szCs w:val="44"/>
          <w:highlight w:val="none"/>
        </w:rPr>
        <w:t>第六章  评标要求</w:t>
      </w:r>
      <w:r>
        <w:rPr>
          <w:b w:val="0"/>
          <w:bCs/>
          <w:color w:val="auto"/>
          <w:kern w:val="28"/>
          <w:sz w:val="44"/>
          <w:szCs w:val="44"/>
          <w:highlight w:val="none"/>
        </w:rPr>
        <w:br w:type="page"/>
      </w:r>
      <w:bookmarkEnd w:id="187"/>
      <w:bookmarkEnd w:id="188"/>
      <w:bookmarkEnd w:id="189"/>
      <w:bookmarkEnd w:id="190"/>
      <w:bookmarkEnd w:id="191"/>
      <w:bookmarkEnd w:id="192"/>
    </w:p>
    <w:p w14:paraId="0B093340">
      <w:pPr>
        <w:rPr>
          <w:rFonts w:hint="eastAsia" w:ascii="宋体" w:hAnsi="宋体" w:cs="宋体"/>
          <w:color w:val="auto"/>
          <w:sz w:val="22"/>
          <w:highlight w:val="none"/>
        </w:rPr>
      </w:pPr>
    </w:p>
    <w:p w14:paraId="6ABD2B1E">
      <w:pPr>
        <w:numPr>
          <w:ilvl w:val="0"/>
          <w:numId w:val="12"/>
        </w:numPr>
        <w:ind w:left="950" w:hanging="950" w:hangingChars="432"/>
        <w:rPr>
          <w:rFonts w:hint="eastAsia" w:ascii="宋体" w:hAnsi="宋体" w:cs="宋体"/>
          <w:color w:val="auto"/>
          <w:sz w:val="22"/>
          <w:highlight w:val="none"/>
        </w:rPr>
      </w:pPr>
      <w:bookmarkStart w:id="193" w:name="bt评标会议"/>
      <w:bookmarkEnd w:id="193"/>
      <w:bookmarkStart w:id="194" w:name="_Toc73521665"/>
      <w:bookmarkStart w:id="195" w:name="_Toc100052394"/>
      <w:bookmarkStart w:id="196" w:name="_Toc73517669"/>
      <w:bookmarkStart w:id="197" w:name="_Toc73518147"/>
      <w:bookmarkStart w:id="198" w:name="_Toc73521577"/>
      <w:r>
        <w:rPr>
          <w:rFonts w:hint="eastAsia" w:ascii="宋体" w:hAnsi="宋体" w:cs="宋体"/>
          <w:color w:val="auto"/>
          <w:sz w:val="22"/>
          <w:highlight w:val="none"/>
        </w:rPr>
        <w:t>评审委员会组成</w:t>
      </w:r>
    </w:p>
    <w:p w14:paraId="27293F4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开标结束后召开评标会议，评审委员会由政府采购代理机构依法组建，负责评标活动。</w:t>
      </w:r>
    </w:p>
    <w:p w14:paraId="68584A7F">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审委员会的组成及行为规范执行《政府采购货物和服务招标投标管理办法（财政部令第87号）》，评审委员会由采购单位代表和有关技术、经济等方面的专家组成，成员人数为5人以上（含5人）单数，其中技术、经济等方面的专家不少于成员总数的三分之二。</w:t>
      </w:r>
    </w:p>
    <w:p w14:paraId="1401EFD5">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为保证评委人选的专业性，以及评标中的公平公正性，评审委员会成员从深圳市财政委员会评标专家库中随机抽取。</w:t>
      </w:r>
    </w:p>
    <w:p w14:paraId="3DBFFB78">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采购单位代表须持本单位签发的《评标授权书》参加评标。</w:t>
      </w:r>
    </w:p>
    <w:p w14:paraId="3805C133">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采购单位无代表参与评标，应在开标前一天提交《采购单位不派评委参与项目评标承诺书》给政府采购代理机构。</w:t>
      </w:r>
    </w:p>
    <w:p w14:paraId="10A8D751">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评标定标应当遵循公平、公正、科学、择优的原则。</w:t>
      </w:r>
    </w:p>
    <w:p w14:paraId="65FDC2B6">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评标活动依法进行，任何单位和个人不得非法干预评标过程和结果。</w:t>
      </w:r>
    </w:p>
    <w:p w14:paraId="4F16FB50">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评标过程中不允许违背评标程序或采用采购文件未载明的评标方法或评标因素进行评标。</w:t>
      </w:r>
    </w:p>
    <w:p w14:paraId="767F0AAE">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开标后，直到授予中标人合同为止，凡属于对投标文件的审查、澄清、评价和比较的有关资料以及中标候选人的推荐情况、与评标有关的其他任何情况均严格保密。</w:t>
      </w:r>
    </w:p>
    <w:p w14:paraId="2A73A5F8">
      <w:pPr>
        <w:ind w:left="907"/>
        <w:rPr>
          <w:rFonts w:hint="eastAsia" w:ascii="宋体" w:hAnsi="宋体" w:cs="宋体"/>
          <w:color w:val="auto"/>
          <w:sz w:val="22"/>
          <w:highlight w:val="none"/>
        </w:rPr>
      </w:pPr>
    </w:p>
    <w:p w14:paraId="3A38AD29">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向评审委员会提供的资料</w:t>
      </w:r>
    </w:p>
    <w:p w14:paraId="455F61FC">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公开发布的采购文件，包括图纸、服务清单、答疑文件等；</w:t>
      </w:r>
    </w:p>
    <w:p w14:paraId="7556AD7C">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其他评标必须的资料。</w:t>
      </w:r>
    </w:p>
    <w:p w14:paraId="4548D06F">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评审委员会应当认真研究采购文件，至少应了解熟悉以下内容：</w:t>
      </w:r>
    </w:p>
    <w:p w14:paraId="3D9A0A7B">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招标的目的；</w:t>
      </w:r>
    </w:p>
    <w:p w14:paraId="3CC97E2F">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招标项目需求的范围和性质；</w:t>
      </w:r>
    </w:p>
    <w:p w14:paraId="18C98925">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采购文件规定的投标人的资格、财政预算限额、商务条款；</w:t>
      </w:r>
    </w:p>
    <w:p w14:paraId="12FF12DE">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采购文件规定的评标程序、评标方法和评标因素；</w:t>
      </w:r>
    </w:p>
    <w:p w14:paraId="3B33E777">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采购文件所列示的废标条款；</w:t>
      </w:r>
    </w:p>
    <w:p w14:paraId="17F0E4F1">
      <w:pPr>
        <w:ind w:left="907"/>
        <w:rPr>
          <w:rFonts w:hint="eastAsia" w:ascii="宋体" w:hAnsi="宋体" w:cs="宋体"/>
          <w:color w:val="auto"/>
          <w:sz w:val="22"/>
          <w:highlight w:val="none"/>
        </w:rPr>
      </w:pPr>
    </w:p>
    <w:p w14:paraId="3569DBD2">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独立评标</w:t>
      </w:r>
    </w:p>
    <w:p w14:paraId="2BAAD65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评审委员会成员的评标活动应当独立进行，并应遵循投标文件初审、澄清有关问题、比较与评价、确定中标供应商、编写评标报告的工作程序。</w:t>
      </w:r>
      <w:bookmarkEnd w:id="194"/>
      <w:bookmarkEnd w:id="195"/>
      <w:bookmarkEnd w:id="196"/>
      <w:bookmarkEnd w:id="197"/>
      <w:bookmarkEnd w:id="198"/>
      <w:bookmarkStart w:id="199" w:name="bt评标过程的保密"/>
      <w:bookmarkEnd w:id="199"/>
      <w:bookmarkStart w:id="200" w:name="bt错误的修正"/>
      <w:bookmarkEnd w:id="200"/>
    </w:p>
    <w:p w14:paraId="46064714">
      <w:pPr>
        <w:rPr>
          <w:color w:val="auto"/>
          <w:highlight w:val="none"/>
        </w:rPr>
      </w:pPr>
      <w:bookmarkStart w:id="201" w:name="_Toc100052397"/>
      <w:bookmarkStart w:id="202" w:name="_Toc101074883"/>
    </w:p>
    <w:p w14:paraId="5836D44D">
      <w:pPr>
        <w:rPr>
          <w:color w:val="auto"/>
          <w:highlight w:val="none"/>
        </w:rPr>
      </w:pPr>
      <w:r>
        <w:rPr>
          <w:color w:val="auto"/>
          <w:highlight w:val="none"/>
        </w:rPr>
        <w:br w:type="page"/>
      </w:r>
    </w:p>
    <w:p w14:paraId="1DCE4BC3">
      <w:pPr>
        <w:rPr>
          <w:color w:val="auto"/>
          <w:highlight w:val="none"/>
        </w:rPr>
      </w:pPr>
    </w:p>
    <w:p w14:paraId="382F12C5">
      <w:pPr>
        <w:rPr>
          <w:color w:val="auto"/>
          <w:highlight w:val="none"/>
        </w:rPr>
      </w:pPr>
    </w:p>
    <w:p w14:paraId="0715CB8D">
      <w:pPr>
        <w:rPr>
          <w:color w:val="auto"/>
          <w:highlight w:val="none"/>
        </w:rPr>
      </w:pPr>
    </w:p>
    <w:p w14:paraId="11F6DBDF">
      <w:pPr>
        <w:rPr>
          <w:color w:val="auto"/>
          <w:highlight w:val="none"/>
        </w:rPr>
      </w:pPr>
    </w:p>
    <w:p w14:paraId="7F08E2EF">
      <w:pPr>
        <w:rPr>
          <w:color w:val="auto"/>
          <w:highlight w:val="none"/>
        </w:rPr>
      </w:pPr>
    </w:p>
    <w:p w14:paraId="4503F58F">
      <w:pPr>
        <w:rPr>
          <w:color w:val="auto"/>
          <w:highlight w:val="none"/>
        </w:rPr>
      </w:pPr>
    </w:p>
    <w:p w14:paraId="57F9F0B6">
      <w:pPr>
        <w:rPr>
          <w:color w:val="auto"/>
          <w:highlight w:val="none"/>
        </w:rPr>
      </w:pPr>
    </w:p>
    <w:p w14:paraId="5399337D">
      <w:pPr>
        <w:rPr>
          <w:color w:val="auto"/>
          <w:highlight w:val="none"/>
        </w:rPr>
      </w:pPr>
    </w:p>
    <w:p w14:paraId="0DE3FE5C">
      <w:pPr>
        <w:rPr>
          <w:color w:val="auto"/>
          <w:highlight w:val="none"/>
        </w:rPr>
      </w:pPr>
    </w:p>
    <w:p w14:paraId="61DD93DA">
      <w:pPr>
        <w:rPr>
          <w:color w:val="auto"/>
          <w:highlight w:val="none"/>
        </w:rPr>
      </w:pPr>
    </w:p>
    <w:p w14:paraId="25A51888">
      <w:pPr>
        <w:rPr>
          <w:color w:val="auto"/>
          <w:highlight w:val="none"/>
        </w:rPr>
      </w:pPr>
    </w:p>
    <w:p w14:paraId="3BE4C875">
      <w:pPr>
        <w:rPr>
          <w:color w:val="auto"/>
          <w:highlight w:val="none"/>
        </w:rPr>
      </w:pPr>
    </w:p>
    <w:p w14:paraId="158BCE6B">
      <w:pPr>
        <w:rPr>
          <w:color w:val="auto"/>
          <w:highlight w:val="none"/>
        </w:rPr>
      </w:pPr>
    </w:p>
    <w:p w14:paraId="3F73553C">
      <w:pPr>
        <w:rPr>
          <w:color w:val="auto"/>
          <w:highlight w:val="none"/>
        </w:rPr>
      </w:pPr>
    </w:p>
    <w:p w14:paraId="64F07C79">
      <w:pPr>
        <w:rPr>
          <w:color w:val="auto"/>
          <w:highlight w:val="none"/>
        </w:rPr>
      </w:pPr>
    </w:p>
    <w:p w14:paraId="0AA3F1DB">
      <w:pPr>
        <w:pStyle w:val="3"/>
        <w:rPr>
          <w:b w:val="0"/>
          <w:bCs/>
          <w:color w:val="auto"/>
          <w:kern w:val="28"/>
          <w:sz w:val="44"/>
          <w:szCs w:val="44"/>
          <w:highlight w:val="none"/>
        </w:rPr>
      </w:pPr>
      <w:r>
        <w:rPr>
          <w:b w:val="0"/>
          <w:bCs/>
          <w:color w:val="auto"/>
          <w:kern w:val="28"/>
          <w:sz w:val="44"/>
          <w:szCs w:val="44"/>
          <w:highlight w:val="none"/>
        </w:rPr>
        <w:t>第七章  评标程序及评标方法</w:t>
      </w:r>
    </w:p>
    <w:p w14:paraId="6E416850">
      <w:pPr>
        <w:ind w:left="-907" w:leftChars="-432"/>
        <w:jc w:val="center"/>
        <w:rPr>
          <w:color w:val="auto"/>
          <w:szCs w:val="28"/>
          <w:highlight w:val="none"/>
        </w:rPr>
      </w:pPr>
      <w:r>
        <w:rPr>
          <w:color w:val="auto"/>
          <w:szCs w:val="28"/>
          <w:highlight w:val="none"/>
        </w:rPr>
        <w:br w:type="page"/>
      </w:r>
      <w:bookmarkEnd w:id="201"/>
      <w:bookmarkEnd w:id="202"/>
      <w:bookmarkStart w:id="203" w:name="_Toc73521579"/>
      <w:bookmarkStart w:id="204" w:name="_Toc73521667"/>
      <w:bookmarkStart w:id="205" w:name="_Toc73517671"/>
      <w:bookmarkStart w:id="206" w:name="_Toc73518149"/>
    </w:p>
    <w:p w14:paraId="4144036F">
      <w:pPr>
        <w:rPr>
          <w:color w:val="auto"/>
          <w:highlight w:val="none"/>
        </w:rPr>
      </w:pPr>
    </w:p>
    <w:p w14:paraId="2420980B">
      <w:pPr>
        <w:numPr>
          <w:ilvl w:val="0"/>
          <w:numId w:val="12"/>
        </w:numPr>
        <w:ind w:left="950" w:hanging="950" w:hangingChars="432"/>
        <w:rPr>
          <w:rFonts w:hint="eastAsia" w:ascii="宋体" w:hAnsi="宋体" w:cs="宋体"/>
          <w:color w:val="auto"/>
          <w:sz w:val="22"/>
          <w:highlight w:val="none"/>
        </w:rPr>
      </w:pPr>
      <w:bookmarkStart w:id="207" w:name="_Toc100052398"/>
      <w:r>
        <w:rPr>
          <w:rFonts w:hint="eastAsia" w:ascii="宋体" w:hAnsi="宋体" w:cs="宋体"/>
          <w:color w:val="auto"/>
          <w:sz w:val="22"/>
          <w:highlight w:val="none"/>
        </w:rPr>
        <w:t>投标文件初审</w:t>
      </w:r>
      <w:bookmarkEnd w:id="207"/>
    </w:p>
    <w:bookmarkEnd w:id="203"/>
    <w:bookmarkEnd w:id="204"/>
    <w:bookmarkEnd w:id="205"/>
    <w:bookmarkEnd w:id="206"/>
    <w:p w14:paraId="43C9050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投标文件初审即符合性检查。符合性检查：依据采购文件的规定，从投标文件的有效性、完整性和对采购文件的响应程度进行审查，以确定是否对采购文件的实质性要求作出响应。</w:t>
      </w:r>
    </w:p>
    <w:p w14:paraId="25702768">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投标文件初审内容请详见“关键信息”中的《投标文件初审表》部分。投标人若有一条审查不通过则按废标处理。评审委员会对投标单位打√为通过审查，打×为未通过审查。</w:t>
      </w:r>
    </w:p>
    <w:p w14:paraId="1153FFA0">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投标文件初审中关于供应商家数的计算。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采购文件规定的方式确定一个投标人获得中标人推荐资格，采购文件未规定的采取随机抽取方式确定，其他同品牌投标人不作为中标候选人。公开招标以外采购方式以及政府采购服务和工程涉及采购货物的项目，也按此方法计算供应商家数。</w:t>
      </w:r>
    </w:p>
    <w:p w14:paraId="38F2F73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对不属于投标文件初审表所列的其他情形，除法律法规另有规定外，不得作为废标的理由。</w:t>
      </w:r>
    </w:p>
    <w:p w14:paraId="3C56BFAB">
      <w:pPr>
        <w:ind w:left="907"/>
        <w:rPr>
          <w:rFonts w:hint="eastAsia" w:ascii="宋体" w:hAnsi="宋体" w:cs="宋体"/>
          <w:color w:val="auto"/>
          <w:sz w:val="22"/>
          <w:highlight w:val="none"/>
        </w:rPr>
      </w:pPr>
    </w:p>
    <w:p w14:paraId="592ADC8A">
      <w:pPr>
        <w:numPr>
          <w:ilvl w:val="0"/>
          <w:numId w:val="12"/>
        </w:numPr>
        <w:ind w:left="950" w:hanging="950" w:hangingChars="432"/>
        <w:rPr>
          <w:rFonts w:hint="eastAsia" w:ascii="宋体" w:hAnsi="宋体" w:cs="宋体"/>
          <w:color w:val="auto"/>
          <w:sz w:val="22"/>
          <w:highlight w:val="none"/>
        </w:rPr>
      </w:pPr>
      <w:bookmarkStart w:id="208" w:name="_Toc100052399"/>
      <w:r>
        <w:rPr>
          <w:rFonts w:hint="eastAsia" w:ascii="宋体" w:hAnsi="宋体" w:cs="宋体"/>
          <w:color w:val="auto"/>
          <w:sz w:val="22"/>
          <w:highlight w:val="none"/>
        </w:rPr>
        <w:t>澄清有关问题</w:t>
      </w:r>
      <w:bookmarkEnd w:id="208"/>
    </w:p>
    <w:p w14:paraId="73F60291">
      <w:pPr>
        <w:numPr>
          <w:ilvl w:val="1"/>
          <w:numId w:val="13"/>
        </w:numPr>
        <w:ind w:left="950" w:hanging="950" w:hangingChars="432"/>
        <w:rPr>
          <w:rFonts w:hint="eastAsia" w:ascii="宋体" w:hAnsi="宋体" w:cs="宋体"/>
          <w:color w:val="auto"/>
          <w:sz w:val="22"/>
          <w:highlight w:val="none"/>
        </w:rPr>
      </w:pPr>
      <w:bookmarkStart w:id="209" w:name="bt投标文件的评估和比较"/>
      <w:bookmarkEnd w:id="209"/>
      <w:bookmarkStart w:id="210" w:name="bt废标"/>
      <w:bookmarkEnd w:id="210"/>
      <w:bookmarkStart w:id="211" w:name="bt投标文件的澄清"/>
      <w:bookmarkEnd w:id="211"/>
      <w:bookmarkStart w:id="212" w:name="_Toc73521583"/>
      <w:bookmarkStart w:id="213" w:name="_Toc73517675"/>
      <w:bookmarkStart w:id="214" w:name="_Toc73518153"/>
      <w:bookmarkStart w:id="215" w:name="_Toc73521671"/>
      <w:r>
        <w:rPr>
          <w:rFonts w:hint="eastAsia" w:ascii="宋体" w:hAnsi="宋体" w:cs="宋体"/>
          <w:color w:val="auto"/>
          <w:sz w:val="22"/>
          <w:highlight w:val="none"/>
        </w:rPr>
        <w:t>为了有助于投标文件的审查、评价和比较，对投标文件含义不明确、同类问题表述不一致或者有明显文字和计算错误的内容，评审委员会可以用书面形式(应当由评审委员会签字)要求投标供应商作出必要的澄清、说明或者纠正。投标人的澄清、说明或者补正应当用采用书面形式（由其授权的代表签字），并不得超出投标文件的范围或者改变投标文件的实质性的内容。根据本通用条款第34条，凡属于评审委员会在评标中发现的算术错误进行核实的修改不在此列。</w:t>
      </w:r>
    </w:p>
    <w:p w14:paraId="0AC0326E">
      <w:pPr>
        <w:ind w:left="907"/>
        <w:rPr>
          <w:rFonts w:hint="eastAsia" w:ascii="宋体" w:hAnsi="宋体" w:cs="宋体"/>
          <w:color w:val="auto"/>
          <w:sz w:val="22"/>
          <w:highlight w:val="none"/>
        </w:rPr>
      </w:pPr>
    </w:p>
    <w:p w14:paraId="14902230">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错误的修正</w:t>
      </w:r>
    </w:p>
    <w:p w14:paraId="34E897F9">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 xml:space="preserve">（一）投标文件中开标一览表（报价表）内容与投标文件中相应内容不一致的，以开标一览表（报价表）为准； </w:t>
      </w:r>
    </w:p>
    <w:p w14:paraId="237A117A">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 xml:space="preserve">（二）大写金额和小写金额不一致的，以大写金额为准； </w:t>
      </w:r>
    </w:p>
    <w:p w14:paraId="706E2433">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 xml:space="preserve">（三）单价金额小数点或者百分比有明显错位的，以开标一览表的总价为准，并修改单价； </w:t>
      </w:r>
    </w:p>
    <w:p w14:paraId="429205D7">
      <w:pPr>
        <w:numPr>
          <w:ilvl w:val="1"/>
          <w:numId w:val="13"/>
        </w:numPr>
        <w:ind w:left="954" w:hanging="954" w:hangingChars="432"/>
        <w:rPr>
          <w:rFonts w:hint="eastAsia" w:ascii="宋体" w:hAnsi="宋体" w:cs="宋体"/>
          <w:b/>
          <w:bCs/>
          <w:color w:val="auto"/>
          <w:sz w:val="22"/>
          <w:highlight w:val="none"/>
        </w:rPr>
      </w:pPr>
      <w:r>
        <w:rPr>
          <w:rFonts w:hint="eastAsia" w:ascii="宋体" w:hAnsi="宋体" w:cs="宋体"/>
          <w:b/>
          <w:bCs/>
          <w:color w:val="auto"/>
          <w:sz w:val="22"/>
          <w:highlight w:val="none"/>
        </w:rPr>
        <w:t xml:space="preserve">（四）总价金额与按单价汇总金额不一致的，以单价金额计算结果为准。 </w:t>
      </w:r>
    </w:p>
    <w:p w14:paraId="5560325D">
      <w:pPr>
        <w:numPr>
          <w:ilvl w:val="1"/>
          <w:numId w:val="13"/>
        </w:numPr>
        <w:ind w:left="954" w:hanging="954" w:hangingChars="432"/>
        <w:rPr>
          <w:rFonts w:hint="eastAsia" w:ascii="宋体" w:hAnsi="宋体" w:cs="宋体"/>
          <w:color w:val="auto"/>
          <w:sz w:val="22"/>
          <w:highlight w:val="none"/>
        </w:rPr>
      </w:pPr>
      <w:r>
        <w:rPr>
          <w:rFonts w:hint="eastAsia" w:ascii="宋体" w:hAnsi="宋体" w:cs="宋体"/>
          <w:b/>
          <w:bCs/>
          <w:color w:val="auto"/>
          <w:sz w:val="22"/>
          <w:highlight w:val="none"/>
        </w:rPr>
        <w:t>同时出现两种以上不一致的，按照前款规定的顺序修正。修正后的报价由评标委员会以澄清方式经投标人确认后产生约束力，投标人不确认的，其投标无效。</w:t>
      </w:r>
    </w:p>
    <w:p w14:paraId="689716ED">
      <w:pPr>
        <w:numPr>
          <w:ilvl w:val="0"/>
          <w:numId w:val="12"/>
        </w:numPr>
        <w:ind w:left="950" w:hanging="950" w:hangingChars="432"/>
        <w:rPr>
          <w:rFonts w:hint="eastAsia" w:ascii="宋体" w:hAnsi="宋体" w:cs="宋体"/>
          <w:color w:val="auto"/>
          <w:sz w:val="22"/>
          <w:highlight w:val="none"/>
        </w:rPr>
      </w:pPr>
      <w:bookmarkStart w:id="216" w:name="_Toc100052401"/>
      <w:r>
        <w:rPr>
          <w:rFonts w:hint="eastAsia" w:ascii="宋体" w:hAnsi="宋体" w:cs="宋体"/>
          <w:color w:val="auto"/>
          <w:sz w:val="22"/>
          <w:highlight w:val="none"/>
        </w:rPr>
        <w:t>投标文件的</w:t>
      </w:r>
      <w:bookmarkEnd w:id="212"/>
      <w:bookmarkEnd w:id="213"/>
      <w:bookmarkEnd w:id="214"/>
      <w:bookmarkEnd w:id="215"/>
      <w:r>
        <w:rPr>
          <w:rFonts w:hint="eastAsia" w:ascii="宋体" w:hAnsi="宋体" w:cs="宋体"/>
          <w:color w:val="auto"/>
          <w:sz w:val="22"/>
          <w:highlight w:val="none"/>
        </w:rPr>
        <w:t>比较与评价</w:t>
      </w:r>
      <w:bookmarkEnd w:id="216"/>
    </w:p>
    <w:p w14:paraId="20D7517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审委员会将按照《深圳经济特区政府采购条例》及《政府采购货物和服务招标投标管理办法（财政部令第87号）》，参照相关法律、法规、规定，仅对通过资格性审查和符合性审查的投标文件进行综合比较与评价。</w:t>
      </w:r>
    </w:p>
    <w:p w14:paraId="76F79DFB">
      <w:pPr>
        <w:ind w:left="907"/>
        <w:rPr>
          <w:rFonts w:hint="eastAsia" w:ascii="宋体" w:hAnsi="宋体" w:cs="宋体"/>
          <w:color w:val="auto"/>
          <w:sz w:val="22"/>
          <w:highlight w:val="none"/>
        </w:rPr>
      </w:pPr>
    </w:p>
    <w:p w14:paraId="4BDDE554">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实地考察、演示或设备测试</w:t>
      </w:r>
    </w:p>
    <w:p w14:paraId="5DFD2D4B">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在招标过程中，评审委员会有权决定是否对本项目投标人进行现场勘察或实地考察或检验有关证明材料的原件。投标人应随时做好接受检查的准备。</w:t>
      </w:r>
    </w:p>
    <w:p w14:paraId="38C2EFEB">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若采购文件要求进行现场演示或设备测试的，投标人应做好相应准备。</w:t>
      </w:r>
    </w:p>
    <w:p w14:paraId="629237AF">
      <w:pPr>
        <w:ind w:left="907"/>
        <w:rPr>
          <w:rFonts w:hint="eastAsia" w:ascii="宋体" w:hAnsi="宋体" w:cs="宋体"/>
          <w:color w:val="auto"/>
          <w:sz w:val="22"/>
          <w:highlight w:val="none"/>
        </w:rPr>
      </w:pPr>
    </w:p>
    <w:p w14:paraId="7596321D">
      <w:pPr>
        <w:numPr>
          <w:ilvl w:val="0"/>
          <w:numId w:val="12"/>
        </w:numPr>
        <w:ind w:left="950" w:hanging="950" w:hangingChars="432"/>
        <w:rPr>
          <w:rFonts w:hint="eastAsia" w:ascii="宋体" w:hAnsi="宋体" w:cs="宋体"/>
          <w:color w:val="auto"/>
          <w:sz w:val="22"/>
          <w:highlight w:val="none"/>
        </w:rPr>
      </w:pPr>
      <w:bookmarkStart w:id="217" w:name="_Toc100052402"/>
      <w:r>
        <w:rPr>
          <w:rFonts w:hint="eastAsia" w:ascii="宋体" w:hAnsi="宋体" w:cs="宋体"/>
          <w:color w:val="auto"/>
          <w:sz w:val="22"/>
          <w:highlight w:val="none"/>
        </w:rPr>
        <w:t>评标方法</w:t>
      </w:r>
      <w:bookmarkEnd w:id="217"/>
    </w:p>
    <w:p w14:paraId="3785EA87">
      <w:pPr>
        <w:numPr>
          <w:ilvl w:val="1"/>
          <w:numId w:val="13"/>
        </w:numPr>
        <w:ind w:left="950" w:hanging="950" w:hangingChars="432"/>
        <w:rPr>
          <w:rFonts w:hint="eastAsia" w:ascii="宋体" w:hAnsi="宋体" w:cs="宋体"/>
          <w:color w:val="auto"/>
          <w:sz w:val="22"/>
          <w:highlight w:val="none"/>
        </w:rPr>
      </w:pPr>
      <w:bookmarkStart w:id="218" w:name="评标方法2"/>
      <w:r>
        <w:rPr>
          <w:rFonts w:hint="eastAsia" w:ascii="宋体" w:hAnsi="宋体" w:cs="宋体"/>
          <w:color w:val="auto"/>
          <w:sz w:val="22"/>
          <w:highlight w:val="none"/>
        </w:rPr>
        <w:t>最低价法</w:t>
      </w:r>
    </w:p>
    <w:p w14:paraId="569D5AF1">
      <w:pPr>
        <w:numPr>
          <w:ilvl w:val="2"/>
          <w:numId w:val="17"/>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最低价法是指以价格因素确定中标候选供应商的评标方法，即在满足采购文件实质性要求前提下，以报价最低的投标供应商作为中标候选供应商或中标供应商的评标方法；</w:t>
      </w:r>
    </w:p>
    <w:p w14:paraId="4E344E6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定性评审法</w:t>
      </w:r>
    </w:p>
    <w:p w14:paraId="59E4FB06">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定性评审法是指按照招标文件规定的各项因素进行技术商务定性评审，对各投标文件是否满足招标文件实质性要求提出意见，指出投标文件的优点、缺陷、问题以及签订合同前应注意和澄清的事项，并形成评审报告。所有递交的投标文件不被判定为废标或者无效标的投标人，均推荐为候选中标供应商。</w:t>
      </w:r>
    </w:p>
    <w:p w14:paraId="2DF48992">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综合评分法</w:t>
      </w:r>
      <w:bookmarkEnd w:id="218"/>
    </w:p>
    <w:p w14:paraId="1F720EFE">
      <w:pPr>
        <w:numPr>
          <w:ilvl w:val="2"/>
          <w:numId w:val="17"/>
        </w:numPr>
        <w:ind w:left="950" w:hanging="950" w:hangingChars="432"/>
        <w:rPr>
          <w:rFonts w:hint="eastAsia" w:ascii="宋体" w:hAnsi="宋体" w:cs="宋体"/>
          <w:color w:val="auto"/>
          <w:sz w:val="22"/>
          <w:highlight w:val="none"/>
        </w:rPr>
      </w:pPr>
      <w:bookmarkStart w:id="219" w:name="评标方法3"/>
      <w:r>
        <w:rPr>
          <w:rFonts w:hint="eastAsia" w:ascii="宋体" w:hAnsi="宋体" w:cs="宋体"/>
          <w:color w:val="auto"/>
          <w:sz w:val="22"/>
          <w:highlight w:val="none"/>
        </w:rPr>
        <w:t>综合评分法是指在最大限度地满足采购文件实质性要求前提下，按照采购文件中规定的各项因素进行量化打分，以评标总得分最高的投标供应商作为中标候选供应商或中标供应商的评标方法。</w:t>
      </w:r>
    </w:p>
    <w:p w14:paraId="1458E04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以评定分离的项目按照《深圳市政府采购评标定标分离管理暂行办法》设置评标方法。</w:t>
      </w:r>
    </w:p>
    <w:p w14:paraId="333269E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其他评标方法根据主管部门相关规定执行。</w:t>
      </w:r>
    </w:p>
    <w:p w14:paraId="42BB364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本项目采用的评标方法</w:t>
      </w:r>
      <w:bookmarkEnd w:id="219"/>
      <w:r>
        <w:rPr>
          <w:rFonts w:hint="eastAsia" w:ascii="宋体" w:hAnsi="宋体" w:cs="宋体"/>
          <w:color w:val="auto"/>
          <w:sz w:val="22"/>
          <w:highlight w:val="none"/>
        </w:rPr>
        <w:t>详见采购文件关键信息的相关内容。</w:t>
      </w:r>
    </w:p>
    <w:p w14:paraId="16A507AC">
      <w:pPr>
        <w:rPr>
          <w:color w:val="auto"/>
          <w:highlight w:val="none"/>
        </w:rPr>
      </w:pPr>
      <w:r>
        <w:rPr>
          <w:color w:val="auto"/>
          <w:highlight w:val="none"/>
        </w:rPr>
        <w:br w:type="page"/>
      </w:r>
    </w:p>
    <w:p w14:paraId="7D8E3EB0">
      <w:pPr>
        <w:rPr>
          <w:color w:val="auto"/>
          <w:highlight w:val="none"/>
        </w:rPr>
      </w:pPr>
    </w:p>
    <w:p w14:paraId="2E3618D9">
      <w:pPr>
        <w:rPr>
          <w:color w:val="auto"/>
          <w:highlight w:val="none"/>
        </w:rPr>
      </w:pPr>
    </w:p>
    <w:p w14:paraId="227A528B">
      <w:pPr>
        <w:rPr>
          <w:color w:val="auto"/>
          <w:highlight w:val="none"/>
        </w:rPr>
      </w:pPr>
    </w:p>
    <w:p w14:paraId="422BE06A">
      <w:pPr>
        <w:rPr>
          <w:color w:val="auto"/>
          <w:highlight w:val="none"/>
        </w:rPr>
      </w:pPr>
    </w:p>
    <w:p w14:paraId="6681A27C">
      <w:pPr>
        <w:rPr>
          <w:color w:val="auto"/>
          <w:highlight w:val="none"/>
        </w:rPr>
      </w:pPr>
    </w:p>
    <w:p w14:paraId="297528F6">
      <w:pPr>
        <w:rPr>
          <w:color w:val="auto"/>
          <w:highlight w:val="none"/>
        </w:rPr>
      </w:pPr>
    </w:p>
    <w:p w14:paraId="4528F130">
      <w:pPr>
        <w:rPr>
          <w:color w:val="auto"/>
          <w:highlight w:val="none"/>
        </w:rPr>
      </w:pPr>
    </w:p>
    <w:p w14:paraId="0B1E0680">
      <w:pPr>
        <w:rPr>
          <w:color w:val="auto"/>
          <w:highlight w:val="none"/>
        </w:rPr>
      </w:pPr>
    </w:p>
    <w:p w14:paraId="0D0E3E70">
      <w:pPr>
        <w:rPr>
          <w:color w:val="auto"/>
          <w:highlight w:val="none"/>
        </w:rPr>
      </w:pPr>
    </w:p>
    <w:p w14:paraId="2A8583AD">
      <w:pPr>
        <w:rPr>
          <w:color w:val="auto"/>
          <w:highlight w:val="none"/>
        </w:rPr>
      </w:pPr>
    </w:p>
    <w:p w14:paraId="1D68CFAE">
      <w:pPr>
        <w:rPr>
          <w:color w:val="auto"/>
          <w:highlight w:val="none"/>
        </w:rPr>
      </w:pPr>
    </w:p>
    <w:p w14:paraId="7A13A824">
      <w:pPr>
        <w:rPr>
          <w:color w:val="auto"/>
          <w:highlight w:val="none"/>
        </w:rPr>
      </w:pPr>
    </w:p>
    <w:p w14:paraId="77F1498E">
      <w:pPr>
        <w:rPr>
          <w:color w:val="auto"/>
          <w:highlight w:val="none"/>
        </w:rPr>
      </w:pPr>
    </w:p>
    <w:p w14:paraId="2779D57F">
      <w:pPr>
        <w:rPr>
          <w:color w:val="auto"/>
          <w:highlight w:val="none"/>
        </w:rPr>
      </w:pPr>
    </w:p>
    <w:p w14:paraId="741CE7C0">
      <w:pPr>
        <w:rPr>
          <w:color w:val="auto"/>
          <w:highlight w:val="none"/>
        </w:rPr>
      </w:pPr>
    </w:p>
    <w:p w14:paraId="766EA0AA">
      <w:pPr>
        <w:pStyle w:val="3"/>
        <w:rPr>
          <w:color w:val="auto"/>
          <w:szCs w:val="28"/>
          <w:highlight w:val="none"/>
        </w:rPr>
      </w:pPr>
      <w:r>
        <w:rPr>
          <w:b w:val="0"/>
          <w:bCs/>
          <w:color w:val="auto"/>
          <w:kern w:val="28"/>
          <w:sz w:val="44"/>
          <w:szCs w:val="44"/>
          <w:highlight w:val="none"/>
        </w:rPr>
        <w:t>第八章  定标及公示</w:t>
      </w:r>
      <w:r>
        <w:rPr>
          <w:b w:val="0"/>
          <w:bCs/>
          <w:color w:val="auto"/>
          <w:kern w:val="28"/>
          <w:sz w:val="44"/>
          <w:szCs w:val="44"/>
          <w:highlight w:val="none"/>
        </w:rPr>
        <w:br w:type="page"/>
      </w:r>
    </w:p>
    <w:p w14:paraId="08A61145">
      <w:pPr>
        <w:rPr>
          <w:color w:val="auto"/>
          <w:highlight w:val="none"/>
        </w:rPr>
      </w:pPr>
    </w:p>
    <w:p w14:paraId="3E60F84D">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定标方法</w:t>
      </w:r>
    </w:p>
    <w:p w14:paraId="7D07663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评审委员会依据本项目采购文件所约定的评标方法进行评审和比较，向政府采购代理机构提交书面评标报告，并根据评标方法比较评价结果从优到劣进行排序，并推荐中标候选人或确定中标供应商；</w:t>
      </w:r>
    </w:p>
    <w:p w14:paraId="300FC676">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用最低评标价法的，按投标报价由低到高顺序排列，投标报价相同的，按技术指标优劣顺序排列。评审委员会认为，排在前面的供应商的最低投标报价或者某些分项报价明显不合理或者低于成本，有可能影响商品质量和不能诚信履约的，应当要求其在规定的期限内提供书面文件予以解释说明，并提交相关证明材料；否则，评审委员会可以取消该投标供应商的中标资格，按顺序由排在后面的供应商递补，以此类推。对是否满足实质性要求或报价是否合理或是否低于成本，评委会意见不一致时，按少数服从多数原则作出决定。</w:t>
      </w:r>
    </w:p>
    <w:p w14:paraId="21CBACEA">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采用综合评分法的，按评审后得分由高到低顺序排列。得分相同的，按投标报价由低到高顺序排列。得分且投标报价相同的，按技术指标优劣顺序排列。</w:t>
      </w:r>
    </w:p>
    <w:p w14:paraId="7BA7EDD6">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采用性价比法的，按商数得分由高到低顺序排列。商数得分相同的，按投标报价由低到高顺序排列。商数得分且投标报价相同的，按技术指标优劣顺序排列。</w:t>
      </w:r>
    </w:p>
    <w:p w14:paraId="23AAC378">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本项目采用的定标方法详见采购文件关键信息的相关内容。</w:t>
      </w:r>
    </w:p>
    <w:p w14:paraId="0BC1445B">
      <w:pPr>
        <w:ind w:left="907"/>
        <w:rPr>
          <w:rFonts w:hint="eastAsia" w:ascii="宋体" w:hAnsi="宋体" w:cs="宋体"/>
          <w:color w:val="auto"/>
          <w:sz w:val="22"/>
          <w:highlight w:val="none"/>
        </w:rPr>
      </w:pPr>
    </w:p>
    <w:p w14:paraId="24350495">
      <w:pPr>
        <w:numPr>
          <w:ilvl w:val="0"/>
          <w:numId w:val="12"/>
        </w:numPr>
        <w:ind w:left="950" w:hanging="950" w:hangingChars="432"/>
        <w:rPr>
          <w:rFonts w:hint="eastAsia" w:ascii="宋体" w:hAnsi="宋体" w:cs="宋体"/>
          <w:color w:val="auto"/>
          <w:sz w:val="22"/>
          <w:highlight w:val="none"/>
        </w:rPr>
      </w:pPr>
      <w:bookmarkStart w:id="220" w:name="_Toc100052404"/>
      <w:r>
        <w:rPr>
          <w:rFonts w:hint="eastAsia" w:ascii="宋体" w:hAnsi="宋体" w:cs="宋体"/>
          <w:color w:val="auto"/>
          <w:sz w:val="22"/>
          <w:highlight w:val="none"/>
        </w:rPr>
        <w:t>编写评标报告</w:t>
      </w:r>
      <w:bookmarkEnd w:id="220"/>
    </w:p>
    <w:p w14:paraId="6FE53246">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报告是评审委员会根据全体评标成员签字的原始评标记录和评标结果编写的报告，评标报告由评审委员会全体成员签字。对评标结论持有异议的评审委员会成员可以书面方式阐述其不同意见和理由。评审委员会成员拒绝在评标报告上签字且不陈述其不同意见和理由的，视为同意评标结论。评审委员会应当对此作出书面说明并记录在案。</w:t>
      </w:r>
    </w:p>
    <w:p w14:paraId="3B795DDB">
      <w:pPr>
        <w:ind w:left="907"/>
        <w:rPr>
          <w:rFonts w:hint="eastAsia" w:ascii="宋体" w:hAnsi="宋体" w:cs="宋体"/>
          <w:color w:val="auto"/>
          <w:sz w:val="22"/>
          <w:highlight w:val="none"/>
        </w:rPr>
      </w:pPr>
    </w:p>
    <w:p w14:paraId="57E8130F">
      <w:pPr>
        <w:numPr>
          <w:ilvl w:val="0"/>
          <w:numId w:val="12"/>
        </w:numPr>
        <w:ind w:left="950" w:hanging="950" w:hangingChars="432"/>
        <w:rPr>
          <w:rFonts w:hint="eastAsia" w:ascii="宋体" w:hAnsi="宋体" w:cs="宋体"/>
          <w:color w:val="auto"/>
          <w:sz w:val="22"/>
          <w:highlight w:val="none"/>
        </w:rPr>
      </w:pPr>
      <w:bookmarkStart w:id="221" w:name="_Toc100052405"/>
      <w:bookmarkStart w:id="222" w:name="_Toc73521676"/>
      <w:bookmarkStart w:id="223" w:name="_Toc73521588"/>
      <w:bookmarkStart w:id="224" w:name="_Toc73518159"/>
      <w:bookmarkStart w:id="225" w:name="_Toc73517681"/>
      <w:r>
        <w:rPr>
          <w:rFonts w:hint="eastAsia" w:ascii="宋体" w:hAnsi="宋体" w:cs="宋体"/>
          <w:color w:val="auto"/>
          <w:sz w:val="22"/>
          <w:highlight w:val="none"/>
        </w:rPr>
        <w:t>中标公告</w:t>
      </w:r>
      <w:bookmarkEnd w:id="221"/>
    </w:p>
    <w:p w14:paraId="4284280B">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为体现“公开、公平、公正”的原则，评标结束后，政府采购代理机构将在“深圳市东海国际招标有限公司官网(http：//www.szdhit.com)”及其他指定媒体上发布中标结果公告，公示期为三日。供应商如对评标结果有异议，请于公示期内，以书面或网上形式向采购代理机构反映。若在公示期内未提出异议，则视为认同该评标结果。</w:t>
      </w:r>
    </w:p>
    <w:p w14:paraId="458133FB">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质疑投诉人应保证质疑投诉内容的真实性和可靠性，并承担相应的法律责任。</w:t>
      </w:r>
    </w:p>
    <w:p w14:paraId="7FB40F95">
      <w:pPr>
        <w:ind w:left="907"/>
        <w:rPr>
          <w:rFonts w:hint="eastAsia" w:ascii="宋体" w:hAnsi="宋体" w:cs="宋体"/>
          <w:color w:val="auto"/>
          <w:sz w:val="22"/>
          <w:highlight w:val="none"/>
        </w:rPr>
      </w:pPr>
    </w:p>
    <w:p w14:paraId="2F4B71F6">
      <w:pPr>
        <w:numPr>
          <w:ilvl w:val="0"/>
          <w:numId w:val="12"/>
        </w:numPr>
        <w:ind w:left="950" w:hanging="950" w:hangingChars="432"/>
        <w:rPr>
          <w:rFonts w:hint="eastAsia" w:ascii="宋体" w:hAnsi="宋体" w:cs="宋体"/>
          <w:color w:val="auto"/>
          <w:sz w:val="22"/>
          <w:highlight w:val="none"/>
        </w:rPr>
      </w:pPr>
      <w:bookmarkStart w:id="226" w:name="_Toc100052406"/>
      <w:r>
        <w:rPr>
          <w:rFonts w:hint="eastAsia" w:ascii="宋体" w:hAnsi="宋体" w:cs="宋体"/>
          <w:color w:val="auto"/>
          <w:sz w:val="22"/>
          <w:highlight w:val="none"/>
        </w:rPr>
        <w:t>中标通知书</w:t>
      </w:r>
      <w:bookmarkEnd w:id="226"/>
    </w:p>
    <w:bookmarkEnd w:id="222"/>
    <w:bookmarkEnd w:id="223"/>
    <w:bookmarkEnd w:id="224"/>
    <w:bookmarkEnd w:id="225"/>
    <w:p w14:paraId="094E645C">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中标公告公布以后，公示期内无人质疑投诉，采购代理机构将向中标人发出《中标通知书》。中标人领取中标通知书前须缴纳服务费。</w:t>
      </w:r>
    </w:p>
    <w:p w14:paraId="3E613DC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中标通知书是合同的重要组成部分。</w:t>
      </w:r>
    </w:p>
    <w:p w14:paraId="4C25B8D1">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因质疑投诉或其它原因导致项目结果变更或采购终止的，采购代理机构有权收回中标通知书或终止采购合同。</w:t>
      </w:r>
    </w:p>
    <w:p w14:paraId="2E2B998E">
      <w:pPr>
        <w:rPr>
          <w:color w:val="auto"/>
          <w:highlight w:val="none"/>
        </w:rPr>
      </w:pPr>
      <w:bookmarkStart w:id="227" w:name="bt合同的授予"/>
      <w:bookmarkEnd w:id="227"/>
      <w:bookmarkStart w:id="228" w:name="_Toc100052407"/>
      <w:bookmarkStart w:id="229" w:name="_Toc73517678"/>
      <w:bookmarkStart w:id="230" w:name="_Toc73518156"/>
      <w:bookmarkStart w:id="231" w:name="_Toc101074884"/>
    </w:p>
    <w:p w14:paraId="0904D681">
      <w:pPr>
        <w:rPr>
          <w:color w:val="auto"/>
          <w:highlight w:val="none"/>
        </w:rPr>
      </w:pPr>
      <w:r>
        <w:rPr>
          <w:color w:val="auto"/>
          <w:highlight w:val="none"/>
        </w:rPr>
        <w:br w:type="page"/>
      </w:r>
    </w:p>
    <w:p w14:paraId="1DDD8255">
      <w:pPr>
        <w:rPr>
          <w:color w:val="auto"/>
          <w:highlight w:val="none"/>
        </w:rPr>
      </w:pPr>
    </w:p>
    <w:p w14:paraId="37C82CFE">
      <w:pPr>
        <w:rPr>
          <w:color w:val="auto"/>
          <w:highlight w:val="none"/>
        </w:rPr>
      </w:pPr>
    </w:p>
    <w:p w14:paraId="7DF7E55A">
      <w:pPr>
        <w:rPr>
          <w:color w:val="auto"/>
          <w:highlight w:val="none"/>
        </w:rPr>
      </w:pPr>
    </w:p>
    <w:p w14:paraId="489712FC">
      <w:pPr>
        <w:rPr>
          <w:color w:val="auto"/>
          <w:highlight w:val="none"/>
        </w:rPr>
      </w:pPr>
    </w:p>
    <w:p w14:paraId="0C73A186">
      <w:pPr>
        <w:rPr>
          <w:color w:val="auto"/>
          <w:highlight w:val="none"/>
        </w:rPr>
      </w:pPr>
    </w:p>
    <w:p w14:paraId="2C5A6281">
      <w:pPr>
        <w:rPr>
          <w:color w:val="auto"/>
          <w:highlight w:val="none"/>
        </w:rPr>
      </w:pPr>
    </w:p>
    <w:p w14:paraId="66CF882B">
      <w:pPr>
        <w:rPr>
          <w:color w:val="auto"/>
          <w:highlight w:val="none"/>
        </w:rPr>
      </w:pPr>
    </w:p>
    <w:p w14:paraId="366B0728">
      <w:pPr>
        <w:rPr>
          <w:color w:val="auto"/>
          <w:highlight w:val="none"/>
        </w:rPr>
      </w:pPr>
    </w:p>
    <w:p w14:paraId="6A9A5850">
      <w:pPr>
        <w:rPr>
          <w:color w:val="auto"/>
          <w:highlight w:val="none"/>
        </w:rPr>
      </w:pPr>
    </w:p>
    <w:p w14:paraId="3DC18639">
      <w:pPr>
        <w:rPr>
          <w:color w:val="auto"/>
          <w:highlight w:val="none"/>
        </w:rPr>
      </w:pPr>
    </w:p>
    <w:p w14:paraId="7C986889">
      <w:pPr>
        <w:rPr>
          <w:color w:val="auto"/>
          <w:highlight w:val="none"/>
        </w:rPr>
      </w:pPr>
    </w:p>
    <w:p w14:paraId="3613D933">
      <w:pPr>
        <w:rPr>
          <w:color w:val="auto"/>
          <w:highlight w:val="none"/>
        </w:rPr>
      </w:pPr>
    </w:p>
    <w:p w14:paraId="63101C6A">
      <w:pPr>
        <w:rPr>
          <w:color w:val="auto"/>
          <w:highlight w:val="none"/>
        </w:rPr>
      </w:pPr>
    </w:p>
    <w:p w14:paraId="7064B886">
      <w:pPr>
        <w:rPr>
          <w:color w:val="auto"/>
          <w:highlight w:val="none"/>
        </w:rPr>
      </w:pPr>
    </w:p>
    <w:p w14:paraId="52DC3188">
      <w:pPr>
        <w:rPr>
          <w:color w:val="auto"/>
          <w:highlight w:val="none"/>
        </w:rPr>
      </w:pPr>
    </w:p>
    <w:p w14:paraId="42947148">
      <w:pPr>
        <w:pStyle w:val="3"/>
        <w:rPr>
          <w:color w:val="auto"/>
          <w:szCs w:val="28"/>
          <w:highlight w:val="none"/>
        </w:rPr>
      </w:pPr>
      <w:r>
        <w:rPr>
          <w:b w:val="0"/>
          <w:bCs/>
          <w:color w:val="auto"/>
          <w:kern w:val="28"/>
          <w:sz w:val="44"/>
          <w:szCs w:val="44"/>
          <w:highlight w:val="none"/>
        </w:rPr>
        <w:t>第九章  公开招标失败的后续处理</w:t>
      </w:r>
      <w:r>
        <w:rPr>
          <w:b w:val="0"/>
          <w:bCs/>
          <w:color w:val="auto"/>
          <w:kern w:val="28"/>
          <w:sz w:val="44"/>
          <w:szCs w:val="44"/>
          <w:highlight w:val="none"/>
        </w:rPr>
        <w:br w:type="page"/>
      </w:r>
    </w:p>
    <w:p w14:paraId="7E7F8A1E">
      <w:pPr>
        <w:rPr>
          <w:color w:val="auto"/>
          <w:highlight w:val="none"/>
        </w:rPr>
      </w:pPr>
    </w:p>
    <w:p w14:paraId="1B4CF5C0">
      <w:pPr>
        <w:numPr>
          <w:ilvl w:val="0"/>
          <w:numId w:val="12"/>
        </w:numPr>
        <w:spacing w:line="360" w:lineRule="auto"/>
        <w:rPr>
          <w:rFonts w:hint="eastAsia" w:ascii="宋体" w:hAnsi="宋体" w:cs="宋体"/>
          <w:color w:val="auto"/>
          <w:sz w:val="22"/>
          <w:highlight w:val="none"/>
        </w:rPr>
      </w:pPr>
      <w:r>
        <w:rPr>
          <w:rFonts w:hint="eastAsia" w:ascii="宋体" w:hAnsi="宋体" w:cs="宋体"/>
          <w:color w:val="auto"/>
          <w:sz w:val="22"/>
          <w:highlight w:val="none"/>
        </w:rPr>
        <w:t>公开招标失败的处理</w:t>
      </w:r>
    </w:p>
    <w:p w14:paraId="7B8BACA9">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本项目公开招标过程中若由于投标截止后实际递交投标文件的供应商数量不足、经评审委员会评审对采购文件作实质响应的供应商不足等原因造成公开招标失败，可由政府采购代理机构重新组织采购。</w:t>
      </w:r>
    </w:p>
    <w:p w14:paraId="5747A2A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对公开招标失败的项目，评审委员会在出具该项目招标失败结论的同时，提出重新采购组织形式的建议，以及进一步完善采购文件的资格、技术、商务要求的修改建议。</w:t>
      </w:r>
    </w:p>
    <w:p w14:paraId="14658955">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重新组织采购有以下两种组织形式：</w:t>
      </w:r>
    </w:p>
    <w:p w14:paraId="403DB553">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由政府采购代理机构重新组织公开招标；</w:t>
      </w:r>
    </w:p>
    <w:p w14:paraId="25BB78F9">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根据实际情况需要向政府采购监督管理部门提出非公开招标方式申请，经政府采购监督管理部门批准公开招标失败采购项目可转为竞争性谈判或单一来源谈判方式采购。</w:t>
      </w:r>
    </w:p>
    <w:p w14:paraId="063E95DD">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公开招标失败的采购项目重新组织公开招标，政府采购代理机构要重新按公开招标流程发布采购公告和采购文件、组成评审委员会等组织采购活动。</w:t>
      </w:r>
    </w:p>
    <w:p w14:paraId="0EE93888">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公开招标失败的采购项目经政府采购监督管理部门批准转为竞争性谈判或单一来源谈判方式采购的，可不另行制作谈判文件，政府采购代理机构可就原采购文件中资格、技术及评标方法等变动情况向拟谈判对象发出谈判邀请。谈判邀请文件与原采购文件具同等效力，变动部分以谈判邀请文件为准。转为竞争性谈判或单一来源谈判方式采购的，供应商的原投标文件转为谈判应答文件。</w:t>
      </w:r>
    </w:p>
    <w:p w14:paraId="220B7079">
      <w:pPr>
        <w:ind w:left="907"/>
        <w:rPr>
          <w:rFonts w:hint="eastAsia" w:ascii="宋体" w:hAnsi="宋体" w:cs="宋体"/>
          <w:color w:val="auto"/>
          <w:sz w:val="22"/>
          <w:highlight w:val="none"/>
        </w:rPr>
      </w:pPr>
    </w:p>
    <w:p w14:paraId="60E15B77">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公开招标失败项目转为竞争性谈判方式采购的</w:t>
      </w:r>
    </w:p>
    <w:p w14:paraId="1A358A25">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谈判文件</w:t>
      </w:r>
    </w:p>
    <w:p w14:paraId="7FB38335">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公开招标失败项目转为竞争性谈判方式采购的，原采购文件转为谈判文件。</w:t>
      </w:r>
    </w:p>
    <w:p w14:paraId="4D1B691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谈判小组</w:t>
      </w:r>
    </w:p>
    <w:p w14:paraId="370CBBE0">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公开招标失败项目转为竞争性谈判方式采购后，评审委员会转为谈判小组；专家可重新抽取也可继续采用评审委员会内专家。</w:t>
      </w:r>
    </w:p>
    <w:p w14:paraId="7AAF2CAE">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前，谈判小组将对各供应商的谈判应答文件进行审查，当谈判应答文件出现下列情况之一的将视为无效，按废标处理，不得进入谈判，具体内容见原采购文件中投标文件初审表的《资格性检查表》部分以及谈判邀请中相应的变动部分。</w:t>
      </w:r>
    </w:p>
    <w:p w14:paraId="267C0F62">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谈判程序</w:t>
      </w:r>
    </w:p>
    <w:p w14:paraId="3E01BA12">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参加谈判的供应商和谈判小组成员填写谈判登记表，并交验证明文件（法定代表人证明书、法人授权委托书、被授权的谈判代表身份证原件）。</w:t>
      </w:r>
    </w:p>
    <w:p w14:paraId="03970247">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谈判小组主持人宣布谈判规则和谈判纪律。</w:t>
      </w:r>
    </w:p>
    <w:p w14:paraId="3643D897">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在谈判中，谈判小组将就以下谈判内容跟供应商进行谈判：</w:t>
      </w:r>
    </w:p>
    <w:p w14:paraId="160CBB9A">
      <w:pPr>
        <w:ind w:left="907"/>
        <w:rPr>
          <w:rFonts w:hint="eastAsia" w:ascii="宋体" w:hAnsi="宋体" w:cs="宋体"/>
          <w:color w:val="auto"/>
          <w:sz w:val="22"/>
          <w:highlight w:val="none"/>
        </w:rPr>
      </w:pPr>
      <w:r>
        <w:rPr>
          <w:rFonts w:hint="eastAsia" w:ascii="宋体" w:hAnsi="宋体" w:cs="宋体"/>
          <w:color w:val="auto"/>
          <w:sz w:val="22"/>
          <w:highlight w:val="none"/>
        </w:rPr>
        <w:t>（1）项目方案；</w:t>
      </w:r>
    </w:p>
    <w:p w14:paraId="1E5365DA">
      <w:pPr>
        <w:ind w:left="907"/>
        <w:rPr>
          <w:rFonts w:hint="eastAsia" w:ascii="宋体" w:hAnsi="宋体" w:cs="宋体"/>
          <w:color w:val="auto"/>
          <w:sz w:val="22"/>
          <w:highlight w:val="none"/>
        </w:rPr>
      </w:pPr>
      <w:r>
        <w:rPr>
          <w:rFonts w:hint="eastAsia" w:ascii="宋体" w:hAnsi="宋体" w:cs="宋体"/>
          <w:color w:val="auto"/>
          <w:sz w:val="22"/>
          <w:highlight w:val="none"/>
        </w:rPr>
        <w:t>（2）报价；</w:t>
      </w:r>
    </w:p>
    <w:p w14:paraId="621F28C8">
      <w:pPr>
        <w:ind w:left="907"/>
        <w:rPr>
          <w:rFonts w:hint="eastAsia" w:ascii="宋体" w:hAnsi="宋体" w:cs="宋体"/>
          <w:color w:val="auto"/>
          <w:sz w:val="22"/>
          <w:highlight w:val="none"/>
        </w:rPr>
      </w:pPr>
      <w:r>
        <w:rPr>
          <w:rFonts w:hint="eastAsia" w:ascii="宋体" w:hAnsi="宋体" w:cs="宋体"/>
          <w:color w:val="auto"/>
          <w:sz w:val="22"/>
          <w:highlight w:val="none"/>
        </w:rPr>
        <w:t>（3）其它相关事项。</w:t>
      </w:r>
    </w:p>
    <w:p w14:paraId="7DF253C3">
      <w:pPr>
        <w:ind w:left="907"/>
        <w:rPr>
          <w:rFonts w:hint="eastAsia" w:ascii="宋体" w:hAnsi="宋体" w:cs="宋体"/>
          <w:color w:val="auto"/>
          <w:sz w:val="22"/>
          <w:highlight w:val="none"/>
        </w:rPr>
      </w:pPr>
      <w:r>
        <w:rPr>
          <w:rFonts w:hint="eastAsia" w:ascii="宋体" w:hAnsi="宋体" w:cs="宋体"/>
          <w:color w:val="auto"/>
          <w:sz w:val="22"/>
          <w:highlight w:val="none"/>
        </w:rPr>
        <w:t>原采购文件或谈判邀请文件有实质性变动的，谈判小组应当通过政府采购代理机构通知所有参加谈判的供应商。</w:t>
      </w:r>
    </w:p>
    <w:p w14:paraId="1BC21C17">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谈判小组可以用书面形式要求各供应商对其谈判应答文件含义不明确的内容作必要的澄清或者说明，重要问题供应商应以书面形式进行澄清、说明。</w:t>
      </w:r>
    </w:p>
    <w:p w14:paraId="1B849E91">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允许供应商在谈判结束之前根据谈判小组提出的内容进行澄清、修改或完善，或对项目方案进行相应的调整。</w:t>
      </w:r>
    </w:p>
    <w:p w14:paraId="5DF69A96">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供应商对谈判应答文件进行修改，都应形成文字材料，并经供应商谈判授权人签字认可。</w:t>
      </w:r>
    </w:p>
    <w:p w14:paraId="28370511">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15056695">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有下列情形之一的，该供应商的谈判结果作废标处理，具体内容见原采购文件中投标文件初审表的《符合性检查表》部分以及谈判邀请中相应的变动部分。</w:t>
      </w:r>
    </w:p>
    <w:p w14:paraId="4592106A">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谈判结束后，谈判小组根据供应商提供的谈判应答文件、谈判过程中产生的相关资料，对供应商谈判应答文件进行评估与比较，提出书面评审意见。</w:t>
      </w:r>
    </w:p>
    <w:p w14:paraId="4214B708">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谈判小组将对谈判过程进行记录，以存档备查。</w:t>
      </w:r>
    </w:p>
    <w:p w14:paraId="44272831">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评标方法和定标原则</w:t>
      </w:r>
    </w:p>
    <w:p w14:paraId="319A1739">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根据《政府采购货物和服务招标投标管理办法（财政部令第87号）》，竞争性谈判采购项目的评标方法要比照最低评标价法规定执行。如确因实际情况需要采用其他评标方法的，应报经同级政府采购监督管理部门批准。原采购文件若采用最低评标价法以外的评标方法，转为竞争性谈判后，评标方法应采用最低评标价法。</w:t>
      </w:r>
    </w:p>
    <w:p w14:paraId="1D20327A">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对公开招标失败转为竞争性谈判方式采购的项目，谈判小组对谈判应答文件进行评审和比较，综合各家供应商最终的方案、服务和投资等谈判结果并按本通用条款第37.1.1款的最低评标价法进行评审。</w:t>
      </w:r>
    </w:p>
    <w:p w14:paraId="4675A52D">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若要采用其他评标方法的，必须报经政府采购监督管理部门批准，谈判小组按批准的评标方法进行评审。谈判邀请文件中应注明批准的评标方法。</w:t>
      </w:r>
    </w:p>
    <w:p w14:paraId="23F6FB1D">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谈判小组向政府采购代理机构提交书面评标报告，并推荐中标候选人或确定中标供应商。</w:t>
      </w:r>
    </w:p>
    <w:p w14:paraId="01F2AA51">
      <w:pPr>
        <w:ind w:left="907"/>
        <w:rPr>
          <w:rFonts w:hint="eastAsia" w:ascii="宋体" w:hAnsi="宋体" w:cs="宋体"/>
          <w:color w:val="auto"/>
          <w:sz w:val="22"/>
          <w:highlight w:val="none"/>
        </w:rPr>
      </w:pPr>
    </w:p>
    <w:p w14:paraId="231EAEE5">
      <w:pPr>
        <w:numPr>
          <w:ilvl w:val="0"/>
          <w:numId w:val="12"/>
        </w:numPr>
        <w:rPr>
          <w:rFonts w:hint="eastAsia" w:ascii="宋体" w:hAnsi="宋体" w:cs="宋体"/>
          <w:color w:val="auto"/>
          <w:sz w:val="22"/>
          <w:highlight w:val="none"/>
        </w:rPr>
      </w:pPr>
      <w:r>
        <w:rPr>
          <w:rFonts w:hint="eastAsia" w:ascii="宋体" w:hAnsi="宋体" w:cs="宋体"/>
          <w:color w:val="auto"/>
          <w:sz w:val="22"/>
          <w:highlight w:val="none"/>
        </w:rPr>
        <w:t>公开招标失败项目转为单一来源谈判方式采购</w:t>
      </w:r>
    </w:p>
    <w:p w14:paraId="7A44FA2B">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谈判文件</w:t>
      </w:r>
    </w:p>
    <w:p w14:paraId="15CE61E8">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公开招标失败项目转为单一来源谈判方式采购的，原采购文件转为谈判文件。</w:t>
      </w:r>
    </w:p>
    <w:p w14:paraId="08CF9AD8">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谈判小组</w:t>
      </w:r>
    </w:p>
    <w:p w14:paraId="11A014E5">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公开招标失败项目转为单一来源谈判方式采购后，评审委员会转为谈判小组，专家可重新抽取也可继续采用评审委员会内专家。</w:t>
      </w:r>
    </w:p>
    <w:p w14:paraId="3782CBB2">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前，谈判小组将对单一来源供应商的谈判应答文件进行审查，当谈判应答文件出现下列情况之一的将视为无效，按废标处理，不得进入谈判，具体内容见原采购文件中投标文件初审表的《资格性检查表》部分以及谈判邀请中相应的变动部分。</w:t>
      </w:r>
    </w:p>
    <w:p w14:paraId="4819B4F4">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谈判程序</w:t>
      </w:r>
    </w:p>
    <w:p w14:paraId="62443DD1">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参加谈判的供应商和谈判小组成员填写谈判登记表，并交验证明文件（法定代表人证明书、法人授权委托书、被授权的谈判代表身份证原件）。</w:t>
      </w:r>
    </w:p>
    <w:p w14:paraId="1030E728">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谈判小组主持人宣布谈判规则和谈判纪律。</w:t>
      </w:r>
    </w:p>
    <w:p w14:paraId="39DDA154">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在谈判中，谈判小组将就以下谈判内容跟供应商进行谈判：</w:t>
      </w:r>
    </w:p>
    <w:p w14:paraId="275B59F2">
      <w:pPr>
        <w:ind w:left="907"/>
        <w:rPr>
          <w:rFonts w:hint="eastAsia" w:ascii="宋体" w:hAnsi="宋体" w:cs="宋体"/>
          <w:color w:val="auto"/>
          <w:sz w:val="22"/>
          <w:highlight w:val="none"/>
        </w:rPr>
      </w:pPr>
      <w:r>
        <w:rPr>
          <w:rFonts w:hint="eastAsia" w:ascii="宋体" w:hAnsi="宋体" w:cs="宋体"/>
          <w:color w:val="auto"/>
          <w:sz w:val="22"/>
          <w:highlight w:val="none"/>
        </w:rPr>
        <w:t>（1）项目方案；</w:t>
      </w:r>
    </w:p>
    <w:p w14:paraId="50B9D989">
      <w:pPr>
        <w:ind w:left="907"/>
        <w:rPr>
          <w:rFonts w:hint="eastAsia" w:ascii="宋体" w:hAnsi="宋体" w:cs="宋体"/>
          <w:color w:val="auto"/>
          <w:sz w:val="22"/>
          <w:highlight w:val="none"/>
        </w:rPr>
      </w:pPr>
      <w:r>
        <w:rPr>
          <w:rFonts w:hint="eastAsia" w:ascii="宋体" w:hAnsi="宋体" w:cs="宋体"/>
          <w:color w:val="auto"/>
          <w:sz w:val="22"/>
          <w:highlight w:val="none"/>
        </w:rPr>
        <w:t>（2）报价；</w:t>
      </w:r>
    </w:p>
    <w:p w14:paraId="6DB840C4">
      <w:pPr>
        <w:ind w:left="907"/>
        <w:rPr>
          <w:rFonts w:hint="eastAsia" w:ascii="宋体" w:hAnsi="宋体" w:cs="宋体"/>
          <w:color w:val="auto"/>
          <w:sz w:val="22"/>
          <w:highlight w:val="none"/>
        </w:rPr>
      </w:pPr>
      <w:r>
        <w:rPr>
          <w:rFonts w:hint="eastAsia" w:ascii="宋体" w:hAnsi="宋体" w:cs="宋体"/>
          <w:color w:val="auto"/>
          <w:sz w:val="22"/>
          <w:highlight w:val="none"/>
        </w:rPr>
        <w:t>（3）其它相关事项。</w:t>
      </w:r>
    </w:p>
    <w:p w14:paraId="1D281416">
      <w:pPr>
        <w:ind w:left="907"/>
        <w:rPr>
          <w:rFonts w:hint="eastAsia" w:ascii="宋体" w:hAnsi="宋体" w:cs="宋体"/>
          <w:color w:val="auto"/>
          <w:sz w:val="22"/>
          <w:highlight w:val="none"/>
        </w:rPr>
      </w:pPr>
      <w:r>
        <w:rPr>
          <w:rFonts w:hint="eastAsia" w:ascii="宋体" w:hAnsi="宋体" w:cs="宋体"/>
          <w:color w:val="auto"/>
          <w:sz w:val="22"/>
          <w:highlight w:val="none"/>
        </w:rPr>
        <w:t>原采购文件或谈判邀请文件有实质性变动的，谈判小组应当通过政府采购代理机构通知供应商。</w:t>
      </w:r>
    </w:p>
    <w:p w14:paraId="285C572B">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谈判小组可以用书面形式要求供应商对其谈判应答文件含义不明确的内容作必要的澄清或者说明，重要问题供应商应以书面形式进行澄清、说明。</w:t>
      </w:r>
    </w:p>
    <w:p w14:paraId="19F6DB22">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允许供应商在谈判结束之前根据谈判小组提出的内容进行澄清、修改或完善，或对项目方案进行相应的调整。</w:t>
      </w:r>
    </w:p>
    <w:p w14:paraId="7AA79F9C">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供应商对谈判应答文件进行修改，都应形成文字材料，并经供应商谈判授权人签字认可。</w:t>
      </w:r>
    </w:p>
    <w:p w14:paraId="3B5BFC99">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谈判小组与单一来源供应商进行谈判。供应商有两次更改机会；供应商应在规定的时间内提出最后更改及书面承诺。</w:t>
      </w:r>
    </w:p>
    <w:p w14:paraId="00E3A978">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有下列情形之一的，供应商的谈判结果作废标处理，具体内容见原采购文件中投标文件初审表的《符合性检查表》部分以及谈判邀请中相应的变动部分。</w:t>
      </w:r>
    </w:p>
    <w:p w14:paraId="056716E3">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谈判结束后，谈判小组根据供应商提供的谈判应答文件、谈判过程中产生的相关资料，对供应商谈判应答文件进行评估与比较，提出书面评审意见。</w:t>
      </w:r>
    </w:p>
    <w:p w14:paraId="443ADD92">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谈判小组将对谈判过程进行记录，以存档备查。</w:t>
      </w:r>
    </w:p>
    <w:p w14:paraId="115EF4BD">
      <w:pPr>
        <w:numPr>
          <w:ilvl w:val="1"/>
          <w:numId w:val="13"/>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评标方法和定标原则</w:t>
      </w:r>
    </w:p>
    <w:p w14:paraId="3359425D">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单一来源谈判采用最低评标价法。原采购文件若采用最低评标价法以外的评标方法，转为单一来源谈判后，评标方法改为最低评标价法。谈判小组对谈判应答文件进行评审和比较，对供应商最终的方案、服务和投资等谈判结果按本通用条款第37.1.1的最低评标价法进行评审。</w:t>
      </w:r>
    </w:p>
    <w:p w14:paraId="4D4A3E62">
      <w:pPr>
        <w:numPr>
          <w:ilvl w:val="2"/>
          <w:numId w:val="17"/>
        </w:numPr>
        <w:rPr>
          <w:rFonts w:hint="eastAsia" w:ascii="宋体" w:hAnsi="宋体" w:cs="宋体"/>
          <w:color w:val="auto"/>
          <w:sz w:val="22"/>
          <w:highlight w:val="none"/>
        </w:rPr>
      </w:pPr>
      <w:r>
        <w:rPr>
          <w:rFonts w:hint="eastAsia" w:ascii="宋体" w:hAnsi="宋体" w:cs="宋体"/>
          <w:color w:val="auto"/>
          <w:sz w:val="22"/>
          <w:highlight w:val="none"/>
        </w:rPr>
        <w:t>谈判小组向政府采购代理机构提交书面评标报告，并推荐中标候选人或确定中标供应商。</w:t>
      </w:r>
      <w:bookmarkEnd w:id="228"/>
      <w:bookmarkEnd w:id="229"/>
      <w:bookmarkEnd w:id="230"/>
      <w:bookmarkEnd w:id="231"/>
    </w:p>
    <w:p w14:paraId="380122EB">
      <w:pPr>
        <w:rPr>
          <w:color w:val="auto"/>
          <w:highlight w:val="none"/>
        </w:rPr>
      </w:pPr>
      <w:r>
        <w:rPr>
          <w:color w:val="auto"/>
          <w:highlight w:val="none"/>
        </w:rPr>
        <w:br w:type="page"/>
      </w:r>
    </w:p>
    <w:p w14:paraId="2CFFCBAD">
      <w:pPr>
        <w:rPr>
          <w:color w:val="auto"/>
          <w:highlight w:val="none"/>
        </w:rPr>
      </w:pPr>
    </w:p>
    <w:p w14:paraId="6A8803CA">
      <w:pPr>
        <w:rPr>
          <w:color w:val="auto"/>
          <w:highlight w:val="none"/>
        </w:rPr>
      </w:pPr>
    </w:p>
    <w:p w14:paraId="73347994">
      <w:pPr>
        <w:rPr>
          <w:color w:val="auto"/>
          <w:highlight w:val="none"/>
        </w:rPr>
      </w:pPr>
    </w:p>
    <w:p w14:paraId="192240A1">
      <w:pPr>
        <w:rPr>
          <w:color w:val="auto"/>
          <w:highlight w:val="none"/>
        </w:rPr>
      </w:pPr>
    </w:p>
    <w:p w14:paraId="1F4DE8E4">
      <w:pPr>
        <w:rPr>
          <w:color w:val="auto"/>
          <w:highlight w:val="none"/>
        </w:rPr>
      </w:pPr>
    </w:p>
    <w:p w14:paraId="15789615">
      <w:pPr>
        <w:rPr>
          <w:color w:val="auto"/>
          <w:highlight w:val="none"/>
        </w:rPr>
      </w:pPr>
    </w:p>
    <w:p w14:paraId="6574EE2E">
      <w:pPr>
        <w:rPr>
          <w:color w:val="auto"/>
          <w:highlight w:val="none"/>
        </w:rPr>
      </w:pPr>
    </w:p>
    <w:p w14:paraId="512F1120">
      <w:pPr>
        <w:rPr>
          <w:color w:val="auto"/>
          <w:highlight w:val="none"/>
        </w:rPr>
      </w:pPr>
    </w:p>
    <w:p w14:paraId="3BB8BE95">
      <w:pPr>
        <w:rPr>
          <w:color w:val="auto"/>
          <w:highlight w:val="none"/>
        </w:rPr>
      </w:pPr>
    </w:p>
    <w:p w14:paraId="59FE9D1E">
      <w:pPr>
        <w:rPr>
          <w:color w:val="auto"/>
          <w:highlight w:val="none"/>
        </w:rPr>
      </w:pPr>
    </w:p>
    <w:p w14:paraId="40867996">
      <w:pPr>
        <w:rPr>
          <w:color w:val="auto"/>
          <w:highlight w:val="none"/>
        </w:rPr>
      </w:pPr>
    </w:p>
    <w:p w14:paraId="2878FEC4">
      <w:pPr>
        <w:rPr>
          <w:color w:val="auto"/>
          <w:highlight w:val="none"/>
        </w:rPr>
      </w:pPr>
    </w:p>
    <w:p w14:paraId="225CA78F">
      <w:pPr>
        <w:rPr>
          <w:color w:val="auto"/>
          <w:highlight w:val="none"/>
        </w:rPr>
      </w:pPr>
    </w:p>
    <w:p w14:paraId="48987525">
      <w:pPr>
        <w:rPr>
          <w:color w:val="auto"/>
          <w:highlight w:val="none"/>
        </w:rPr>
      </w:pPr>
    </w:p>
    <w:p w14:paraId="3D224676">
      <w:pPr>
        <w:rPr>
          <w:color w:val="auto"/>
          <w:highlight w:val="none"/>
        </w:rPr>
      </w:pPr>
    </w:p>
    <w:p w14:paraId="178D29AC">
      <w:pPr>
        <w:pStyle w:val="3"/>
        <w:rPr>
          <w:color w:val="auto"/>
          <w:szCs w:val="28"/>
          <w:highlight w:val="none"/>
        </w:rPr>
      </w:pPr>
      <w:r>
        <w:rPr>
          <w:b w:val="0"/>
          <w:bCs/>
          <w:color w:val="auto"/>
          <w:kern w:val="28"/>
          <w:sz w:val="44"/>
          <w:szCs w:val="44"/>
          <w:highlight w:val="none"/>
        </w:rPr>
        <w:t>第十章  合同的授予与备案</w:t>
      </w:r>
      <w:r>
        <w:rPr>
          <w:b w:val="0"/>
          <w:bCs/>
          <w:color w:val="auto"/>
          <w:kern w:val="28"/>
          <w:sz w:val="44"/>
          <w:szCs w:val="44"/>
          <w:highlight w:val="none"/>
        </w:rPr>
        <w:br w:type="page"/>
      </w:r>
    </w:p>
    <w:p w14:paraId="115F4C9D">
      <w:pPr>
        <w:rPr>
          <w:color w:val="auto"/>
          <w:highlight w:val="none"/>
        </w:rPr>
      </w:pPr>
    </w:p>
    <w:p w14:paraId="394B08C2">
      <w:pPr>
        <w:numPr>
          <w:ilvl w:val="0"/>
          <w:numId w:val="12"/>
        </w:numPr>
        <w:ind w:left="1037" w:hanging="1036" w:hangingChars="432"/>
        <w:rPr>
          <w:color w:val="auto"/>
          <w:sz w:val="24"/>
          <w:highlight w:val="none"/>
        </w:rPr>
      </w:pPr>
      <w:bookmarkStart w:id="232" w:name="_33._合同授予标准"/>
      <w:bookmarkEnd w:id="232"/>
      <w:bookmarkStart w:id="233" w:name="_Toc73521674"/>
      <w:bookmarkStart w:id="234" w:name="_Toc73517679"/>
      <w:bookmarkStart w:id="235" w:name="_Toc73518157"/>
      <w:bookmarkStart w:id="236" w:name="_Toc100052408"/>
      <w:bookmarkStart w:id="237" w:name="_Toc73521586"/>
      <w:r>
        <w:rPr>
          <w:color w:val="auto"/>
          <w:sz w:val="24"/>
          <w:highlight w:val="none"/>
        </w:rPr>
        <w:t>合同授予标准</w:t>
      </w:r>
      <w:bookmarkEnd w:id="233"/>
      <w:bookmarkEnd w:id="234"/>
      <w:bookmarkEnd w:id="235"/>
      <w:bookmarkEnd w:id="236"/>
      <w:bookmarkEnd w:id="237"/>
    </w:p>
    <w:p w14:paraId="5F08CB9E">
      <w:pPr>
        <w:numPr>
          <w:ilvl w:val="1"/>
          <w:numId w:val="13"/>
        </w:numPr>
        <w:ind w:hangingChars="432"/>
        <w:rPr>
          <w:color w:val="auto"/>
          <w:szCs w:val="21"/>
          <w:highlight w:val="none"/>
        </w:rPr>
      </w:pPr>
      <w:r>
        <w:rPr>
          <w:color w:val="auto"/>
          <w:szCs w:val="21"/>
          <w:highlight w:val="none"/>
        </w:rPr>
        <w:t>本项目的合同将授予按本采购文件规定评审确定的中标人。</w:t>
      </w:r>
    </w:p>
    <w:p w14:paraId="210B024D">
      <w:pPr>
        <w:ind w:left="907"/>
        <w:rPr>
          <w:color w:val="auto"/>
          <w:szCs w:val="21"/>
          <w:highlight w:val="none"/>
        </w:rPr>
      </w:pPr>
    </w:p>
    <w:p w14:paraId="6C8DDBC2">
      <w:pPr>
        <w:numPr>
          <w:ilvl w:val="0"/>
          <w:numId w:val="12"/>
        </w:numPr>
        <w:ind w:left="1037" w:hanging="1036" w:hangingChars="432"/>
        <w:rPr>
          <w:color w:val="auto"/>
          <w:sz w:val="24"/>
          <w:highlight w:val="none"/>
        </w:rPr>
      </w:pPr>
      <w:r>
        <w:rPr>
          <w:color w:val="auto"/>
          <w:sz w:val="24"/>
          <w:highlight w:val="none"/>
        </w:rPr>
        <w:t>接受和拒绝任何或所有投标的权力</w:t>
      </w:r>
    </w:p>
    <w:p w14:paraId="35A5F5C9">
      <w:pPr>
        <w:numPr>
          <w:ilvl w:val="1"/>
          <w:numId w:val="13"/>
        </w:numPr>
        <w:ind w:hangingChars="432"/>
        <w:rPr>
          <w:color w:val="auto"/>
          <w:szCs w:val="21"/>
          <w:highlight w:val="none"/>
        </w:rPr>
      </w:pPr>
      <w:r>
        <w:rPr>
          <w:color w:val="auto"/>
          <w:szCs w:val="21"/>
          <w:highlight w:val="none"/>
        </w:rPr>
        <w:t>政府采购代理机构和采购单位保留在投标之前任何时候接受或拒绝任何投标或所有投标，以及宣布招标无效的权力，对受影响的投标人不承担任何责任，也无义务向受影响的投标人解释采取这一行动的理由。</w:t>
      </w:r>
    </w:p>
    <w:p w14:paraId="00E95492">
      <w:pPr>
        <w:ind w:left="907"/>
        <w:rPr>
          <w:color w:val="auto"/>
          <w:szCs w:val="21"/>
          <w:highlight w:val="none"/>
        </w:rPr>
      </w:pPr>
    </w:p>
    <w:p w14:paraId="7131FF06">
      <w:pPr>
        <w:numPr>
          <w:ilvl w:val="0"/>
          <w:numId w:val="12"/>
        </w:numPr>
        <w:ind w:left="1037" w:hanging="1036" w:hangingChars="432"/>
        <w:rPr>
          <w:color w:val="auto"/>
          <w:sz w:val="24"/>
          <w:highlight w:val="none"/>
        </w:rPr>
      </w:pPr>
      <w:bookmarkStart w:id="238" w:name="_Toc73521589"/>
      <w:bookmarkStart w:id="239" w:name="_Toc73521677"/>
      <w:bookmarkStart w:id="240" w:name="_Toc73518160"/>
      <w:bookmarkStart w:id="241" w:name="_Toc100052410"/>
      <w:bookmarkStart w:id="242" w:name="_Toc73517682"/>
      <w:r>
        <w:rPr>
          <w:color w:val="auto"/>
          <w:sz w:val="24"/>
          <w:highlight w:val="none"/>
        </w:rPr>
        <w:t>合同协议书的签订</w:t>
      </w:r>
      <w:bookmarkEnd w:id="238"/>
      <w:bookmarkEnd w:id="239"/>
      <w:bookmarkEnd w:id="240"/>
      <w:bookmarkEnd w:id="241"/>
      <w:bookmarkEnd w:id="242"/>
    </w:p>
    <w:p w14:paraId="1EEDA769">
      <w:pPr>
        <w:numPr>
          <w:ilvl w:val="1"/>
          <w:numId w:val="13"/>
        </w:numPr>
        <w:ind w:hangingChars="432"/>
        <w:rPr>
          <w:color w:val="auto"/>
          <w:szCs w:val="21"/>
          <w:highlight w:val="none"/>
        </w:rPr>
      </w:pPr>
      <w:r>
        <w:rPr>
          <w:color w:val="auto"/>
          <w:szCs w:val="21"/>
          <w:highlight w:val="none"/>
        </w:rPr>
        <w:t>中标人将于中标通知书发出之日起十个工作日内，按照采购文件和投标文件内容与采购单位签订书面合同，合同书应采用本采购文件规定的合同样本；</w:t>
      </w:r>
    </w:p>
    <w:p w14:paraId="73BBA8B8">
      <w:pPr>
        <w:numPr>
          <w:ilvl w:val="1"/>
          <w:numId w:val="13"/>
        </w:numPr>
        <w:ind w:hangingChars="432"/>
        <w:rPr>
          <w:color w:val="auto"/>
          <w:szCs w:val="21"/>
          <w:highlight w:val="none"/>
        </w:rPr>
      </w:pPr>
      <w:r>
        <w:rPr>
          <w:color w:val="auto"/>
          <w:szCs w:val="21"/>
          <w:highlight w:val="none"/>
        </w:rPr>
        <w:t>中标人如不按本通用条款第47.1款的规定与采购单位签订合同，则政府采购代理机构将有充分的理由废除中标，并没收其投标保证金，给政府采购代理机构造成的损失超过投标担保数额的，还应当对超过部分予以赔偿，同时承担相应法律责任；</w:t>
      </w:r>
    </w:p>
    <w:p w14:paraId="496B37CF">
      <w:pPr>
        <w:numPr>
          <w:ilvl w:val="1"/>
          <w:numId w:val="13"/>
        </w:numPr>
        <w:ind w:hangingChars="432"/>
        <w:rPr>
          <w:color w:val="auto"/>
          <w:szCs w:val="21"/>
          <w:highlight w:val="none"/>
        </w:rPr>
      </w:pPr>
      <w:r>
        <w:rPr>
          <w:color w:val="auto"/>
          <w:szCs w:val="21"/>
          <w:highlight w:val="none"/>
        </w:rPr>
        <w:t>中标人应当按照合同约定履行义务，完成中标项目，不得将中标项目转让（转包）给他人；</w:t>
      </w:r>
    </w:p>
    <w:p w14:paraId="369E0C3C">
      <w:pPr>
        <w:numPr>
          <w:ilvl w:val="1"/>
          <w:numId w:val="13"/>
        </w:numPr>
        <w:ind w:hangingChars="432"/>
        <w:rPr>
          <w:color w:val="auto"/>
          <w:szCs w:val="21"/>
          <w:highlight w:val="none"/>
        </w:rPr>
      </w:pPr>
      <w:r>
        <w:rPr>
          <w:color w:val="auto"/>
          <w:szCs w:val="21"/>
          <w:highlight w:val="none"/>
        </w:rPr>
        <w:t>采购人与中标人签订的合同必须遵守本采购文件的合同条件，并且不得更改合同条件。</w:t>
      </w:r>
    </w:p>
    <w:p w14:paraId="412DA539">
      <w:pPr>
        <w:ind w:left="907"/>
        <w:rPr>
          <w:color w:val="auto"/>
          <w:szCs w:val="21"/>
          <w:highlight w:val="none"/>
        </w:rPr>
      </w:pPr>
    </w:p>
    <w:p w14:paraId="0428BD62">
      <w:pPr>
        <w:numPr>
          <w:ilvl w:val="0"/>
          <w:numId w:val="12"/>
        </w:numPr>
        <w:ind w:left="1037" w:hanging="1036" w:hangingChars="432"/>
        <w:rPr>
          <w:color w:val="auto"/>
          <w:sz w:val="24"/>
          <w:highlight w:val="none"/>
        </w:rPr>
      </w:pPr>
      <w:bookmarkStart w:id="243" w:name="_Toc73521678"/>
      <w:bookmarkStart w:id="244" w:name="_Toc73521590"/>
      <w:bookmarkStart w:id="245" w:name="_Toc73517683"/>
      <w:bookmarkStart w:id="246" w:name="_Toc73518161"/>
      <w:bookmarkStart w:id="247" w:name="_Toc100052411"/>
      <w:r>
        <w:rPr>
          <w:color w:val="auto"/>
          <w:sz w:val="24"/>
          <w:highlight w:val="none"/>
        </w:rPr>
        <w:t>履约担保</w:t>
      </w:r>
      <w:bookmarkEnd w:id="243"/>
      <w:bookmarkEnd w:id="244"/>
      <w:bookmarkEnd w:id="245"/>
      <w:bookmarkEnd w:id="246"/>
      <w:bookmarkEnd w:id="247"/>
    </w:p>
    <w:p w14:paraId="529F7D90">
      <w:pPr>
        <w:numPr>
          <w:ilvl w:val="1"/>
          <w:numId w:val="13"/>
        </w:numPr>
        <w:ind w:hangingChars="432"/>
        <w:rPr>
          <w:color w:val="auto"/>
          <w:szCs w:val="21"/>
          <w:highlight w:val="none"/>
        </w:rPr>
      </w:pPr>
      <w:r>
        <w:rPr>
          <w:color w:val="auto"/>
          <w:szCs w:val="21"/>
          <w:highlight w:val="none"/>
        </w:rPr>
        <w:t>在签订项目合同的同时，中标人应按“对通用条款的补充内容”中规定的金额向采购单位提交履约保证金；</w:t>
      </w:r>
    </w:p>
    <w:p w14:paraId="1FF012CD">
      <w:pPr>
        <w:numPr>
          <w:ilvl w:val="1"/>
          <w:numId w:val="13"/>
        </w:numPr>
        <w:ind w:hangingChars="432"/>
        <w:rPr>
          <w:color w:val="auto"/>
          <w:szCs w:val="21"/>
          <w:highlight w:val="none"/>
        </w:rPr>
      </w:pPr>
      <w:r>
        <w:rPr>
          <w:color w:val="auto"/>
          <w:szCs w:val="21"/>
          <w:highlight w:val="none"/>
        </w:rPr>
        <w:t>如果中标人不能按本通用条款第49.1款的规定执行，采购单位将有充分的理由通过政府采购监督管理部门废除中标，并没收投标保证金，给采购单位造成的损失超过投标保证金数额的，还应当对超过部分予以赔偿；</w:t>
      </w:r>
    </w:p>
    <w:p w14:paraId="38A148C6">
      <w:pPr>
        <w:numPr>
          <w:ilvl w:val="1"/>
          <w:numId w:val="13"/>
        </w:numPr>
        <w:ind w:hangingChars="432"/>
        <w:rPr>
          <w:color w:val="auto"/>
          <w:szCs w:val="21"/>
          <w:highlight w:val="none"/>
        </w:rPr>
      </w:pPr>
      <w:r>
        <w:rPr>
          <w:color w:val="auto"/>
          <w:szCs w:val="21"/>
          <w:highlight w:val="none"/>
        </w:rPr>
        <w:t>项目服务期满之后，经验收合格后，采购单位在七日内办理解除履约担保手续。</w:t>
      </w:r>
    </w:p>
    <w:p w14:paraId="474A747D">
      <w:pPr>
        <w:ind w:left="907"/>
        <w:rPr>
          <w:color w:val="auto"/>
          <w:szCs w:val="21"/>
          <w:highlight w:val="none"/>
        </w:rPr>
      </w:pPr>
    </w:p>
    <w:p w14:paraId="6CD76282">
      <w:pPr>
        <w:numPr>
          <w:ilvl w:val="0"/>
          <w:numId w:val="12"/>
        </w:numPr>
        <w:ind w:left="1037" w:hanging="1036" w:hangingChars="432"/>
        <w:rPr>
          <w:color w:val="auto"/>
          <w:sz w:val="24"/>
          <w:highlight w:val="none"/>
        </w:rPr>
      </w:pPr>
      <w:r>
        <w:rPr>
          <w:color w:val="auto"/>
          <w:sz w:val="24"/>
          <w:highlight w:val="none"/>
        </w:rPr>
        <w:t>招标代理服务费</w:t>
      </w:r>
    </w:p>
    <w:p w14:paraId="0FB97FDC">
      <w:pPr>
        <w:numPr>
          <w:ilvl w:val="1"/>
          <w:numId w:val="13"/>
        </w:numPr>
        <w:ind w:hangingChars="432"/>
        <w:rPr>
          <w:color w:val="auto"/>
          <w:szCs w:val="21"/>
          <w:highlight w:val="none"/>
        </w:rPr>
      </w:pPr>
      <w:r>
        <w:rPr>
          <w:color w:val="auto"/>
          <w:szCs w:val="21"/>
          <w:highlight w:val="none"/>
        </w:rPr>
        <w:t>招标代理服务费依据深财购[2018]27号文及相关规定，具体收费标准如下表：</w:t>
      </w:r>
    </w:p>
    <w:tbl>
      <w:tblPr>
        <w:tblStyle w:val="43"/>
        <w:tblW w:w="0" w:type="auto"/>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60"/>
        <w:gridCol w:w="1984"/>
        <w:gridCol w:w="1843"/>
        <w:gridCol w:w="1900"/>
      </w:tblGrid>
      <w:tr w14:paraId="40A82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43C8558C">
            <w:pPr>
              <w:rPr>
                <w:color w:val="auto"/>
                <w:highlight w:val="none"/>
              </w:rPr>
            </w:pPr>
            <w:r>
              <w:rPr>
                <w:color w:val="auto"/>
                <w:highlight w:val="none"/>
              </w:rPr>
              <w:t>中标金额（万元）</w:t>
            </w:r>
          </w:p>
        </w:tc>
        <w:tc>
          <w:tcPr>
            <w:tcW w:w="1984" w:type="dxa"/>
            <w:vAlign w:val="center"/>
          </w:tcPr>
          <w:p w14:paraId="3B27A550">
            <w:pPr>
              <w:jc w:val="center"/>
              <w:rPr>
                <w:color w:val="auto"/>
                <w:highlight w:val="none"/>
              </w:rPr>
            </w:pPr>
            <w:r>
              <w:rPr>
                <w:color w:val="auto"/>
                <w:highlight w:val="none"/>
              </w:rPr>
              <w:t>货物采购</w:t>
            </w:r>
          </w:p>
        </w:tc>
        <w:tc>
          <w:tcPr>
            <w:tcW w:w="1843" w:type="dxa"/>
            <w:vAlign w:val="center"/>
          </w:tcPr>
          <w:p w14:paraId="0F3E0AD8">
            <w:pPr>
              <w:jc w:val="center"/>
              <w:rPr>
                <w:color w:val="auto"/>
                <w:highlight w:val="none"/>
              </w:rPr>
            </w:pPr>
            <w:r>
              <w:rPr>
                <w:color w:val="auto"/>
                <w:highlight w:val="none"/>
              </w:rPr>
              <w:t>服务采购</w:t>
            </w:r>
          </w:p>
        </w:tc>
        <w:tc>
          <w:tcPr>
            <w:tcW w:w="1900" w:type="dxa"/>
            <w:vAlign w:val="center"/>
          </w:tcPr>
          <w:p w14:paraId="207480FB">
            <w:pPr>
              <w:jc w:val="center"/>
              <w:rPr>
                <w:color w:val="auto"/>
                <w:highlight w:val="none"/>
              </w:rPr>
            </w:pPr>
            <w:r>
              <w:rPr>
                <w:color w:val="auto"/>
                <w:highlight w:val="none"/>
              </w:rPr>
              <w:t>工程采购</w:t>
            </w:r>
          </w:p>
        </w:tc>
      </w:tr>
      <w:tr w14:paraId="5DC58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3EC64BC0">
            <w:pPr>
              <w:rPr>
                <w:color w:val="auto"/>
                <w:highlight w:val="none"/>
              </w:rPr>
            </w:pPr>
            <w:r>
              <w:rPr>
                <w:color w:val="auto"/>
                <w:highlight w:val="none"/>
              </w:rPr>
              <w:t>100以下</w:t>
            </w:r>
          </w:p>
        </w:tc>
        <w:tc>
          <w:tcPr>
            <w:tcW w:w="1984" w:type="dxa"/>
          </w:tcPr>
          <w:p w14:paraId="22A2E043">
            <w:pPr>
              <w:jc w:val="center"/>
              <w:rPr>
                <w:color w:val="auto"/>
                <w:highlight w:val="none"/>
              </w:rPr>
            </w:pPr>
            <w:r>
              <w:rPr>
                <w:color w:val="auto"/>
                <w:highlight w:val="none"/>
              </w:rPr>
              <w:t>1.5%</w:t>
            </w:r>
          </w:p>
        </w:tc>
        <w:tc>
          <w:tcPr>
            <w:tcW w:w="1843" w:type="dxa"/>
          </w:tcPr>
          <w:p w14:paraId="0091FEAD">
            <w:pPr>
              <w:jc w:val="center"/>
              <w:rPr>
                <w:color w:val="auto"/>
                <w:highlight w:val="none"/>
              </w:rPr>
            </w:pPr>
            <w:r>
              <w:rPr>
                <w:color w:val="auto"/>
                <w:highlight w:val="none"/>
              </w:rPr>
              <w:t>1.5%</w:t>
            </w:r>
          </w:p>
        </w:tc>
        <w:tc>
          <w:tcPr>
            <w:tcW w:w="1900" w:type="dxa"/>
          </w:tcPr>
          <w:p w14:paraId="6F5627D0">
            <w:pPr>
              <w:jc w:val="center"/>
              <w:rPr>
                <w:color w:val="auto"/>
                <w:highlight w:val="none"/>
              </w:rPr>
            </w:pPr>
            <w:r>
              <w:rPr>
                <w:color w:val="auto"/>
                <w:highlight w:val="none"/>
              </w:rPr>
              <w:t>1.0%</w:t>
            </w:r>
          </w:p>
        </w:tc>
      </w:tr>
      <w:tr w14:paraId="68DC7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6A563C2F">
            <w:pPr>
              <w:rPr>
                <w:color w:val="auto"/>
                <w:highlight w:val="none"/>
              </w:rPr>
            </w:pPr>
            <w:r>
              <w:rPr>
                <w:color w:val="auto"/>
                <w:highlight w:val="none"/>
              </w:rPr>
              <w:t>100-500</w:t>
            </w:r>
          </w:p>
        </w:tc>
        <w:tc>
          <w:tcPr>
            <w:tcW w:w="1984" w:type="dxa"/>
          </w:tcPr>
          <w:p w14:paraId="74051537">
            <w:pPr>
              <w:jc w:val="center"/>
              <w:rPr>
                <w:color w:val="auto"/>
                <w:highlight w:val="none"/>
              </w:rPr>
            </w:pPr>
            <w:r>
              <w:rPr>
                <w:color w:val="auto"/>
                <w:highlight w:val="none"/>
              </w:rPr>
              <w:t>1.1%</w:t>
            </w:r>
          </w:p>
        </w:tc>
        <w:tc>
          <w:tcPr>
            <w:tcW w:w="1843" w:type="dxa"/>
          </w:tcPr>
          <w:p w14:paraId="65233FA9">
            <w:pPr>
              <w:jc w:val="center"/>
              <w:rPr>
                <w:color w:val="auto"/>
                <w:highlight w:val="none"/>
              </w:rPr>
            </w:pPr>
            <w:r>
              <w:rPr>
                <w:color w:val="auto"/>
                <w:highlight w:val="none"/>
              </w:rPr>
              <w:t>0.8%</w:t>
            </w:r>
          </w:p>
        </w:tc>
        <w:tc>
          <w:tcPr>
            <w:tcW w:w="1900" w:type="dxa"/>
          </w:tcPr>
          <w:p w14:paraId="5572C97E">
            <w:pPr>
              <w:jc w:val="center"/>
              <w:rPr>
                <w:color w:val="auto"/>
                <w:highlight w:val="none"/>
              </w:rPr>
            </w:pPr>
            <w:r>
              <w:rPr>
                <w:color w:val="auto"/>
                <w:highlight w:val="none"/>
              </w:rPr>
              <w:t>0.7%</w:t>
            </w:r>
          </w:p>
        </w:tc>
      </w:tr>
      <w:tr w14:paraId="7371A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765284BA">
            <w:pPr>
              <w:rPr>
                <w:color w:val="auto"/>
                <w:highlight w:val="none"/>
              </w:rPr>
            </w:pPr>
            <w:r>
              <w:rPr>
                <w:color w:val="auto"/>
                <w:highlight w:val="none"/>
              </w:rPr>
              <w:t>500-1000</w:t>
            </w:r>
          </w:p>
        </w:tc>
        <w:tc>
          <w:tcPr>
            <w:tcW w:w="1984" w:type="dxa"/>
          </w:tcPr>
          <w:p w14:paraId="12CDEA0A">
            <w:pPr>
              <w:jc w:val="center"/>
              <w:rPr>
                <w:color w:val="auto"/>
                <w:highlight w:val="none"/>
              </w:rPr>
            </w:pPr>
            <w:r>
              <w:rPr>
                <w:color w:val="auto"/>
                <w:highlight w:val="none"/>
              </w:rPr>
              <w:t>0.8%</w:t>
            </w:r>
          </w:p>
        </w:tc>
        <w:tc>
          <w:tcPr>
            <w:tcW w:w="1843" w:type="dxa"/>
          </w:tcPr>
          <w:p w14:paraId="53A7EEB5">
            <w:pPr>
              <w:jc w:val="center"/>
              <w:rPr>
                <w:color w:val="auto"/>
                <w:highlight w:val="none"/>
              </w:rPr>
            </w:pPr>
            <w:r>
              <w:rPr>
                <w:color w:val="auto"/>
                <w:highlight w:val="none"/>
              </w:rPr>
              <w:t>0.45%</w:t>
            </w:r>
          </w:p>
        </w:tc>
        <w:tc>
          <w:tcPr>
            <w:tcW w:w="1900" w:type="dxa"/>
          </w:tcPr>
          <w:p w14:paraId="6B20E02E">
            <w:pPr>
              <w:jc w:val="center"/>
              <w:rPr>
                <w:color w:val="auto"/>
                <w:highlight w:val="none"/>
              </w:rPr>
            </w:pPr>
            <w:r>
              <w:rPr>
                <w:color w:val="auto"/>
                <w:highlight w:val="none"/>
              </w:rPr>
              <w:t>0.55%</w:t>
            </w:r>
          </w:p>
        </w:tc>
      </w:tr>
      <w:tr w14:paraId="3BD25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3F682EFB">
            <w:pPr>
              <w:rPr>
                <w:color w:val="auto"/>
                <w:highlight w:val="none"/>
              </w:rPr>
            </w:pPr>
            <w:r>
              <w:rPr>
                <w:color w:val="auto"/>
                <w:highlight w:val="none"/>
              </w:rPr>
              <w:t>1000-5000</w:t>
            </w:r>
          </w:p>
        </w:tc>
        <w:tc>
          <w:tcPr>
            <w:tcW w:w="1984" w:type="dxa"/>
          </w:tcPr>
          <w:p w14:paraId="195CCBB8">
            <w:pPr>
              <w:jc w:val="center"/>
              <w:rPr>
                <w:color w:val="auto"/>
                <w:highlight w:val="none"/>
              </w:rPr>
            </w:pPr>
            <w:r>
              <w:rPr>
                <w:color w:val="auto"/>
                <w:highlight w:val="none"/>
              </w:rPr>
              <w:t>0.5%</w:t>
            </w:r>
          </w:p>
        </w:tc>
        <w:tc>
          <w:tcPr>
            <w:tcW w:w="1843" w:type="dxa"/>
          </w:tcPr>
          <w:p w14:paraId="321D3019">
            <w:pPr>
              <w:jc w:val="center"/>
              <w:rPr>
                <w:color w:val="auto"/>
                <w:highlight w:val="none"/>
              </w:rPr>
            </w:pPr>
            <w:r>
              <w:rPr>
                <w:color w:val="auto"/>
                <w:highlight w:val="none"/>
              </w:rPr>
              <w:t>0.25%</w:t>
            </w:r>
          </w:p>
        </w:tc>
        <w:tc>
          <w:tcPr>
            <w:tcW w:w="1900" w:type="dxa"/>
          </w:tcPr>
          <w:p w14:paraId="77EC6052">
            <w:pPr>
              <w:jc w:val="center"/>
              <w:rPr>
                <w:color w:val="auto"/>
                <w:highlight w:val="none"/>
              </w:rPr>
            </w:pPr>
            <w:r>
              <w:rPr>
                <w:color w:val="auto"/>
                <w:highlight w:val="none"/>
              </w:rPr>
              <w:t>0.35%</w:t>
            </w:r>
          </w:p>
        </w:tc>
      </w:tr>
      <w:tr w14:paraId="07F1F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73978A36">
            <w:pPr>
              <w:rPr>
                <w:color w:val="auto"/>
                <w:highlight w:val="none"/>
              </w:rPr>
            </w:pPr>
            <w:r>
              <w:rPr>
                <w:color w:val="auto"/>
                <w:highlight w:val="none"/>
              </w:rPr>
              <w:t>5000-10000</w:t>
            </w:r>
          </w:p>
        </w:tc>
        <w:tc>
          <w:tcPr>
            <w:tcW w:w="1984" w:type="dxa"/>
          </w:tcPr>
          <w:p w14:paraId="64799031">
            <w:pPr>
              <w:jc w:val="center"/>
              <w:rPr>
                <w:color w:val="auto"/>
                <w:highlight w:val="none"/>
              </w:rPr>
            </w:pPr>
            <w:r>
              <w:rPr>
                <w:color w:val="auto"/>
                <w:highlight w:val="none"/>
              </w:rPr>
              <w:t>0.25%</w:t>
            </w:r>
          </w:p>
        </w:tc>
        <w:tc>
          <w:tcPr>
            <w:tcW w:w="1843" w:type="dxa"/>
          </w:tcPr>
          <w:p w14:paraId="3EA062F6">
            <w:pPr>
              <w:jc w:val="center"/>
              <w:rPr>
                <w:color w:val="auto"/>
                <w:highlight w:val="none"/>
              </w:rPr>
            </w:pPr>
            <w:r>
              <w:rPr>
                <w:color w:val="auto"/>
                <w:highlight w:val="none"/>
              </w:rPr>
              <w:t>0.1%</w:t>
            </w:r>
          </w:p>
        </w:tc>
        <w:tc>
          <w:tcPr>
            <w:tcW w:w="1900" w:type="dxa"/>
          </w:tcPr>
          <w:p w14:paraId="21D79C24">
            <w:pPr>
              <w:jc w:val="center"/>
              <w:rPr>
                <w:color w:val="auto"/>
                <w:highlight w:val="none"/>
              </w:rPr>
            </w:pPr>
            <w:r>
              <w:rPr>
                <w:color w:val="auto"/>
                <w:highlight w:val="none"/>
              </w:rPr>
              <w:t>0.2%</w:t>
            </w:r>
          </w:p>
        </w:tc>
      </w:tr>
      <w:tr w14:paraId="18892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 w:hRule="atLeast"/>
          <w:jc w:val="right"/>
        </w:trPr>
        <w:tc>
          <w:tcPr>
            <w:tcW w:w="1760" w:type="dxa"/>
          </w:tcPr>
          <w:p w14:paraId="28919FB2">
            <w:pPr>
              <w:rPr>
                <w:color w:val="auto"/>
                <w:highlight w:val="none"/>
              </w:rPr>
            </w:pPr>
            <w:r>
              <w:rPr>
                <w:color w:val="auto"/>
                <w:highlight w:val="none"/>
              </w:rPr>
              <w:t>10000-50000</w:t>
            </w:r>
          </w:p>
        </w:tc>
        <w:tc>
          <w:tcPr>
            <w:tcW w:w="1984" w:type="dxa"/>
          </w:tcPr>
          <w:p w14:paraId="3F165221">
            <w:pPr>
              <w:jc w:val="center"/>
              <w:rPr>
                <w:color w:val="auto"/>
                <w:highlight w:val="none"/>
              </w:rPr>
            </w:pPr>
            <w:r>
              <w:rPr>
                <w:color w:val="auto"/>
                <w:highlight w:val="none"/>
              </w:rPr>
              <w:t>0.05%</w:t>
            </w:r>
          </w:p>
        </w:tc>
        <w:tc>
          <w:tcPr>
            <w:tcW w:w="1843" w:type="dxa"/>
          </w:tcPr>
          <w:p w14:paraId="1329149E">
            <w:pPr>
              <w:jc w:val="center"/>
              <w:rPr>
                <w:color w:val="auto"/>
                <w:highlight w:val="none"/>
              </w:rPr>
            </w:pPr>
            <w:r>
              <w:rPr>
                <w:color w:val="auto"/>
                <w:highlight w:val="none"/>
              </w:rPr>
              <w:t>0.05%</w:t>
            </w:r>
          </w:p>
        </w:tc>
        <w:tc>
          <w:tcPr>
            <w:tcW w:w="1900" w:type="dxa"/>
          </w:tcPr>
          <w:p w14:paraId="2AB3A36D">
            <w:pPr>
              <w:jc w:val="center"/>
              <w:rPr>
                <w:color w:val="auto"/>
                <w:highlight w:val="none"/>
              </w:rPr>
            </w:pPr>
            <w:r>
              <w:rPr>
                <w:color w:val="auto"/>
                <w:highlight w:val="none"/>
              </w:rPr>
              <w:t>0.05%</w:t>
            </w:r>
          </w:p>
        </w:tc>
      </w:tr>
    </w:tbl>
    <w:p w14:paraId="6FBEABBF">
      <w:pPr>
        <w:ind w:left="907"/>
        <w:rPr>
          <w:color w:val="auto"/>
          <w:szCs w:val="21"/>
          <w:highlight w:val="none"/>
        </w:rPr>
      </w:pPr>
      <w:r>
        <w:rPr>
          <w:color w:val="auto"/>
          <w:szCs w:val="21"/>
          <w:highlight w:val="none"/>
        </w:rPr>
        <w:t>注：</w:t>
      </w:r>
    </w:p>
    <w:p w14:paraId="372A8ECA">
      <w:pPr>
        <w:ind w:left="907"/>
        <w:rPr>
          <w:color w:val="auto"/>
          <w:szCs w:val="21"/>
          <w:highlight w:val="none"/>
        </w:rPr>
      </w:pPr>
      <w:r>
        <w:rPr>
          <w:color w:val="auto"/>
          <w:szCs w:val="21"/>
          <w:highlight w:val="none"/>
        </w:rPr>
        <w:t>(1)以中标通知书中确定的中标总金额作为缴费的计算基数。</w:t>
      </w:r>
    </w:p>
    <w:p w14:paraId="677C1ECF">
      <w:pPr>
        <w:ind w:left="907"/>
        <w:rPr>
          <w:color w:val="auto"/>
          <w:szCs w:val="21"/>
          <w:highlight w:val="none"/>
        </w:rPr>
      </w:pPr>
      <w:r>
        <w:rPr>
          <w:color w:val="auto"/>
          <w:szCs w:val="21"/>
          <w:highlight w:val="none"/>
        </w:rPr>
        <w:t>(2)招标代理服务费按差额定率累进法计算。</w:t>
      </w:r>
    </w:p>
    <w:p w14:paraId="7748DB34">
      <w:pPr>
        <w:ind w:left="907"/>
        <w:rPr>
          <w:color w:val="auto"/>
          <w:szCs w:val="21"/>
          <w:highlight w:val="none"/>
        </w:rPr>
      </w:pPr>
      <w:r>
        <w:rPr>
          <w:color w:val="auto"/>
          <w:szCs w:val="21"/>
          <w:highlight w:val="none"/>
        </w:rPr>
        <w:t>(3)领取中标通知书前向采购代理机构缴纳服务费。</w:t>
      </w:r>
    </w:p>
    <w:p w14:paraId="5B51846E">
      <w:pPr>
        <w:ind w:left="907"/>
        <w:rPr>
          <w:color w:val="auto"/>
          <w:szCs w:val="21"/>
          <w:highlight w:val="none"/>
        </w:rPr>
      </w:pPr>
    </w:p>
    <w:p w14:paraId="5DEBA4C1">
      <w:pPr>
        <w:ind w:left="907"/>
        <w:rPr>
          <w:color w:val="auto"/>
          <w:szCs w:val="21"/>
          <w:highlight w:val="none"/>
        </w:rPr>
      </w:pPr>
    </w:p>
    <w:p w14:paraId="6AF32DAD">
      <w:pPr>
        <w:numPr>
          <w:ilvl w:val="0"/>
          <w:numId w:val="12"/>
        </w:numPr>
        <w:rPr>
          <w:color w:val="auto"/>
          <w:sz w:val="24"/>
          <w:highlight w:val="none"/>
        </w:rPr>
      </w:pPr>
      <w:r>
        <w:rPr>
          <w:color w:val="auto"/>
          <w:sz w:val="24"/>
          <w:highlight w:val="none"/>
        </w:rPr>
        <w:t>合同公示</w:t>
      </w:r>
    </w:p>
    <w:p w14:paraId="078796C7">
      <w:pPr>
        <w:numPr>
          <w:ilvl w:val="1"/>
          <w:numId w:val="13"/>
        </w:numPr>
        <w:ind w:hangingChars="432"/>
        <w:rPr>
          <w:color w:val="auto"/>
          <w:szCs w:val="21"/>
          <w:highlight w:val="none"/>
        </w:rPr>
      </w:pPr>
      <w:r>
        <w:rPr>
          <w:color w:val="auto"/>
          <w:szCs w:val="21"/>
          <w:highlight w:val="none"/>
        </w:rPr>
        <w:t>政府采购合同应当自合同签订之日起2个工作日内公告。批量集中采购项目应当公告框架协议。政府采购合同中涉及国家秘密、商业秘密的部分可以不公告，但其他内容应当公告。政府采购合同涉及国家秘密的内容，由采购人依据《保守国家秘密法》等法律制度规定确定。采购合同中涉及商业秘密的内容，由采购人依据《反不正当竞争法》、《最高人民法院关于适用&lt;中华人民共和国民事诉讼法&gt;若干问题的意见》(法发(1992) 22号）等法律制度的规定，与供应商在合同中约定。其中，合同标的名称、规格型号、单价及合同金额等内容不得作为商业秘密。合同中涉及个人隐私的姓名、联系方式等内容，除征得权利人同意外，不得对外公告。</w:t>
      </w:r>
    </w:p>
    <w:p w14:paraId="004F3A0C">
      <w:pPr>
        <w:ind w:left="907"/>
        <w:rPr>
          <w:color w:val="auto"/>
          <w:szCs w:val="21"/>
          <w:highlight w:val="none"/>
        </w:rPr>
      </w:pPr>
    </w:p>
    <w:p w14:paraId="6995ABE8">
      <w:pPr>
        <w:numPr>
          <w:ilvl w:val="0"/>
          <w:numId w:val="12"/>
        </w:numPr>
        <w:rPr>
          <w:color w:val="auto"/>
          <w:sz w:val="24"/>
          <w:highlight w:val="none"/>
        </w:rPr>
      </w:pPr>
      <w:r>
        <w:rPr>
          <w:color w:val="auto"/>
          <w:sz w:val="24"/>
          <w:highlight w:val="none"/>
        </w:rPr>
        <w:t>履约情况的反馈</w:t>
      </w:r>
    </w:p>
    <w:p w14:paraId="0B381F40">
      <w:pPr>
        <w:numPr>
          <w:ilvl w:val="1"/>
          <w:numId w:val="13"/>
        </w:numPr>
        <w:ind w:hangingChars="432"/>
        <w:rPr>
          <w:color w:val="auto"/>
          <w:szCs w:val="21"/>
          <w:highlight w:val="none"/>
        </w:rPr>
      </w:pPr>
      <w:r>
        <w:rPr>
          <w:color w:val="auto"/>
          <w:szCs w:val="21"/>
          <w:highlight w:val="none"/>
        </w:rPr>
        <w:t>采购人应及时向政府采购代理机构反馈中标人的履约情况（填写《政府采购履约情况反馈表》），中标人的履约情况将作为供应商考核的重要依据，并将成为日后政府采购活动中的项目评标依据。</w:t>
      </w:r>
    </w:p>
    <w:p w14:paraId="071D69CD">
      <w:pPr>
        <w:ind w:left="907"/>
        <w:rPr>
          <w:color w:val="auto"/>
          <w:szCs w:val="21"/>
          <w:highlight w:val="none"/>
        </w:rPr>
      </w:pPr>
    </w:p>
    <w:p w14:paraId="234EAD67">
      <w:pPr>
        <w:numPr>
          <w:ilvl w:val="0"/>
          <w:numId w:val="12"/>
        </w:numPr>
        <w:rPr>
          <w:color w:val="auto"/>
          <w:sz w:val="24"/>
          <w:highlight w:val="none"/>
        </w:rPr>
      </w:pPr>
      <w:r>
        <w:rPr>
          <w:color w:val="auto"/>
          <w:sz w:val="24"/>
          <w:highlight w:val="none"/>
        </w:rPr>
        <w:t>宣传</w:t>
      </w:r>
    </w:p>
    <w:p w14:paraId="3FFD60A1">
      <w:pPr>
        <w:numPr>
          <w:ilvl w:val="1"/>
          <w:numId w:val="13"/>
        </w:numPr>
        <w:ind w:hangingChars="432"/>
        <w:rPr>
          <w:color w:val="auto"/>
          <w:szCs w:val="21"/>
          <w:highlight w:val="none"/>
        </w:rPr>
      </w:pPr>
      <w:r>
        <w:rPr>
          <w:color w:val="auto"/>
          <w:szCs w:val="21"/>
          <w:highlight w:val="none"/>
        </w:rPr>
        <w:t>凡与政府采购活动有关的宣传或广告，若当中提及政府采购，必须事先将具体对外宣传方案报采购代理机构，并征得其同意。对外市场宣传包括但不限于以下形式：</w:t>
      </w:r>
    </w:p>
    <w:p w14:paraId="76245DBF">
      <w:pPr>
        <w:numPr>
          <w:ilvl w:val="2"/>
          <w:numId w:val="14"/>
        </w:numPr>
        <w:rPr>
          <w:color w:val="auto"/>
          <w:szCs w:val="21"/>
          <w:highlight w:val="none"/>
        </w:rPr>
      </w:pPr>
      <w:r>
        <w:rPr>
          <w:color w:val="auto"/>
          <w:szCs w:val="21"/>
          <w:highlight w:val="none"/>
        </w:rPr>
        <w:t>名片、宣传册、广告标语等；</w:t>
      </w:r>
    </w:p>
    <w:p w14:paraId="69BE7A47">
      <w:pPr>
        <w:numPr>
          <w:ilvl w:val="2"/>
          <w:numId w:val="14"/>
        </w:numPr>
        <w:rPr>
          <w:color w:val="auto"/>
          <w:szCs w:val="21"/>
          <w:highlight w:val="none"/>
        </w:rPr>
      </w:pPr>
      <w:r>
        <w:rPr>
          <w:color w:val="auto"/>
          <w:szCs w:val="21"/>
          <w:highlight w:val="none"/>
        </w:rPr>
        <w:t>案例介绍、推广等；</w:t>
      </w:r>
    </w:p>
    <w:p w14:paraId="7507B788">
      <w:pPr>
        <w:numPr>
          <w:ilvl w:val="2"/>
          <w:numId w:val="14"/>
        </w:numPr>
        <w:rPr>
          <w:color w:val="auto"/>
          <w:szCs w:val="21"/>
          <w:highlight w:val="none"/>
        </w:rPr>
      </w:pPr>
      <w:r>
        <w:rPr>
          <w:color w:val="auto"/>
          <w:szCs w:val="21"/>
          <w:highlight w:val="none"/>
        </w:rPr>
        <w:t>工作人员向其他消费群体宣传。</w:t>
      </w:r>
    </w:p>
    <w:p w14:paraId="47B1AC71">
      <w:pPr>
        <w:ind w:left="907"/>
        <w:rPr>
          <w:color w:val="auto"/>
          <w:szCs w:val="21"/>
          <w:highlight w:val="none"/>
        </w:rPr>
      </w:pPr>
    </w:p>
    <w:p w14:paraId="723D5D95">
      <w:pPr>
        <w:numPr>
          <w:ilvl w:val="0"/>
          <w:numId w:val="12"/>
        </w:numPr>
        <w:rPr>
          <w:color w:val="auto"/>
          <w:sz w:val="24"/>
          <w:highlight w:val="none"/>
        </w:rPr>
      </w:pPr>
      <w:r>
        <w:rPr>
          <w:color w:val="auto"/>
          <w:sz w:val="24"/>
          <w:highlight w:val="none"/>
        </w:rPr>
        <w:t>腐败和欺诈行为</w:t>
      </w:r>
    </w:p>
    <w:p w14:paraId="2BFE2D6D">
      <w:pPr>
        <w:numPr>
          <w:ilvl w:val="1"/>
          <w:numId w:val="13"/>
        </w:numPr>
        <w:ind w:hangingChars="432"/>
        <w:rPr>
          <w:color w:val="auto"/>
          <w:szCs w:val="21"/>
          <w:highlight w:val="none"/>
        </w:rPr>
      </w:pPr>
      <w:r>
        <w:rPr>
          <w:color w:val="auto"/>
          <w:szCs w:val="21"/>
          <w:highlight w:val="none"/>
        </w:rPr>
        <w:t>政府采购要求合同项下的采购人和中标人在合同采购和实施过程中应遵守最高的道德标准。根据本要求，政府采购代理机构将：</w:t>
      </w:r>
    </w:p>
    <w:p w14:paraId="5A987FA4">
      <w:pPr>
        <w:numPr>
          <w:ilvl w:val="2"/>
          <w:numId w:val="14"/>
        </w:numPr>
        <w:rPr>
          <w:color w:val="auto"/>
          <w:szCs w:val="21"/>
          <w:highlight w:val="none"/>
        </w:rPr>
      </w:pPr>
      <w:r>
        <w:rPr>
          <w:color w:val="auto"/>
          <w:szCs w:val="21"/>
          <w:highlight w:val="none"/>
        </w:rPr>
        <w:t>为此目的，定义下述条件：</w:t>
      </w:r>
    </w:p>
    <w:p w14:paraId="422CD86A">
      <w:pPr>
        <w:ind w:left="907"/>
        <w:rPr>
          <w:color w:val="auto"/>
          <w:szCs w:val="21"/>
          <w:highlight w:val="none"/>
        </w:rPr>
      </w:pPr>
      <w:r>
        <w:rPr>
          <w:color w:val="auto"/>
          <w:szCs w:val="21"/>
          <w:highlight w:val="none"/>
        </w:rPr>
        <w:t>（a）“腐败行为”是指提供、给予、接受或索取任何有价值的东西来影响招标方或采购人在采购过程或合同实施过程中的行为；</w:t>
      </w:r>
    </w:p>
    <w:p w14:paraId="08E57345">
      <w:pPr>
        <w:ind w:left="907"/>
        <w:rPr>
          <w:color w:val="auto"/>
          <w:szCs w:val="21"/>
          <w:highlight w:val="none"/>
        </w:rPr>
      </w:pPr>
      <w:r>
        <w:rPr>
          <w:color w:val="auto"/>
          <w:szCs w:val="21"/>
          <w:highlight w:val="none"/>
        </w:rPr>
        <w:t>（b）“欺诈行为”是指为了影响采购过程或合同实施过程而谎报事实，损害招标方或采购人的利益，包括投标人之间串通投标（递交投标书之前和之后），人为地使投标丧失竞争性，剥夺招标方或采购人从自由公开竞争所能获得的权益。</w:t>
      </w:r>
    </w:p>
    <w:p w14:paraId="0CD1089C">
      <w:pPr>
        <w:numPr>
          <w:ilvl w:val="2"/>
          <w:numId w:val="14"/>
        </w:numPr>
        <w:rPr>
          <w:color w:val="auto"/>
          <w:szCs w:val="21"/>
          <w:highlight w:val="none"/>
        </w:rPr>
      </w:pPr>
      <w:r>
        <w:rPr>
          <w:color w:val="auto"/>
          <w:szCs w:val="21"/>
          <w:highlight w:val="none"/>
        </w:rPr>
        <w:t>如果评审委员会认为投标人在本合同的竞争中有腐败和欺诈行为，则拒绝接受该投标。</w:t>
      </w:r>
    </w:p>
    <w:p w14:paraId="4A97A6C4">
      <w:pPr>
        <w:numPr>
          <w:ilvl w:val="2"/>
          <w:numId w:val="14"/>
        </w:numPr>
        <w:rPr>
          <w:color w:val="auto"/>
          <w:szCs w:val="21"/>
          <w:highlight w:val="none"/>
        </w:rPr>
      </w:pPr>
      <w:r>
        <w:rPr>
          <w:color w:val="auto"/>
          <w:szCs w:val="21"/>
          <w:highlight w:val="none"/>
        </w:rPr>
        <w:t>如果投标人或中标人在政府采购合同的竞争和实施过程中有腐败和欺诈行为，将依据</w:t>
      </w:r>
      <w:r>
        <w:rPr>
          <w:rFonts w:hint="eastAsia"/>
          <w:color w:val="auto"/>
          <w:szCs w:val="21"/>
          <w:highlight w:val="none"/>
        </w:rPr>
        <w:t>《中华人民共和国民法典》</w:t>
      </w:r>
      <w:r>
        <w:rPr>
          <w:color w:val="auto"/>
          <w:szCs w:val="21"/>
          <w:highlight w:val="none"/>
        </w:rPr>
        <w:t>、《深圳经济特区政府采购条例》有关法律法规进行处罚。</w:t>
      </w:r>
    </w:p>
    <w:p w14:paraId="0096E170">
      <w:pPr>
        <w:rPr>
          <w:color w:val="auto"/>
          <w:highlight w:val="none"/>
        </w:rPr>
      </w:pPr>
    </w:p>
    <w:p w14:paraId="2366B913">
      <w:pPr>
        <w:rPr>
          <w:color w:val="auto"/>
          <w:highlight w:val="none"/>
        </w:rPr>
      </w:pPr>
      <w:r>
        <w:rPr>
          <w:color w:val="auto"/>
          <w:highlight w:val="none"/>
        </w:rPr>
        <w:br w:type="page"/>
      </w:r>
    </w:p>
    <w:p w14:paraId="6C5BFA6A">
      <w:pPr>
        <w:rPr>
          <w:color w:val="auto"/>
          <w:highlight w:val="none"/>
        </w:rPr>
      </w:pPr>
    </w:p>
    <w:p w14:paraId="5E1A6E40">
      <w:pPr>
        <w:rPr>
          <w:color w:val="auto"/>
          <w:highlight w:val="none"/>
        </w:rPr>
      </w:pPr>
    </w:p>
    <w:p w14:paraId="4E8D480E">
      <w:pPr>
        <w:rPr>
          <w:color w:val="auto"/>
          <w:highlight w:val="none"/>
        </w:rPr>
      </w:pPr>
    </w:p>
    <w:p w14:paraId="19A3DE59">
      <w:pPr>
        <w:rPr>
          <w:color w:val="auto"/>
          <w:highlight w:val="none"/>
        </w:rPr>
      </w:pPr>
    </w:p>
    <w:p w14:paraId="55774620">
      <w:pPr>
        <w:rPr>
          <w:color w:val="auto"/>
          <w:highlight w:val="none"/>
        </w:rPr>
      </w:pPr>
    </w:p>
    <w:p w14:paraId="77FE5F08">
      <w:pPr>
        <w:rPr>
          <w:color w:val="auto"/>
          <w:highlight w:val="none"/>
        </w:rPr>
      </w:pPr>
    </w:p>
    <w:p w14:paraId="36FC46E5">
      <w:pPr>
        <w:rPr>
          <w:color w:val="auto"/>
          <w:highlight w:val="none"/>
        </w:rPr>
      </w:pPr>
    </w:p>
    <w:p w14:paraId="471907C8">
      <w:pPr>
        <w:rPr>
          <w:color w:val="auto"/>
          <w:highlight w:val="none"/>
        </w:rPr>
      </w:pPr>
    </w:p>
    <w:p w14:paraId="551FC601">
      <w:pPr>
        <w:rPr>
          <w:color w:val="auto"/>
          <w:highlight w:val="none"/>
        </w:rPr>
      </w:pPr>
    </w:p>
    <w:p w14:paraId="4DB53FB3">
      <w:pPr>
        <w:rPr>
          <w:color w:val="auto"/>
          <w:highlight w:val="none"/>
        </w:rPr>
      </w:pPr>
    </w:p>
    <w:p w14:paraId="577657C2">
      <w:pPr>
        <w:rPr>
          <w:color w:val="auto"/>
          <w:highlight w:val="none"/>
        </w:rPr>
      </w:pPr>
    </w:p>
    <w:p w14:paraId="51E83D28">
      <w:pPr>
        <w:rPr>
          <w:color w:val="auto"/>
          <w:highlight w:val="none"/>
        </w:rPr>
      </w:pPr>
    </w:p>
    <w:p w14:paraId="6A1158A4">
      <w:pPr>
        <w:rPr>
          <w:color w:val="auto"/>
          <w:highlight w:val="none"/>
        </w:rPr>
      </w:pPr>
    </w:p>
    <w:p w14:paraId="3961D700">
      <w:pPr>
        <w:rPr>
          <w:color w:val="auto"/>
          <w:highlight w:val="none"/>
        </w:rPr>
      </w:pPr>
    </w:p>
    <w:p w14:paraId="63DF0B93">
      <w:pPr>
        <w:rPr>
          <w:color w:val="auto"/>
          <w:highlight w:val="none"/>
        </w:rPr>
      </w:pPr>
    </w:p>
    <w:p w14:paraId="3FCE514B">
      <w:pPr>
        <w:pStyle w:val="3"/>
        <w:rPr>
          <w:color w:val="auto"/>
          <w:highlight w:val="none"/>
        </w:rPr>
      </w:pPr>
      <w:r>
        <w:rPr>
          <w:b w:val="0"/>
          <w:bCs/>
          <w:color w:val="auto"/>
          <w:kern w:val="28"/>
          <w:sz w:val="44"/>
          <w:szCs w:val="44"/>
          <w:highlight w:val="none"/>
        </w:rPr>
        <w:t>第十一章  质疑处理</w:t>
      </w:r>
      <w:r>
        <w:rPr>
          <w:b w:val="0"/>
          <w:bCs/>
          <w:color w:val="auto"/>
          <w:kern w:val="28"/>
          <w:sz w:val="44"/>
          <w:szCs w:val="44"/>
          <w:highlight w:val="none"/>
        </w:rPr>
        <w:br w:type="page"/>
      </w:r>
    </w:p>
    <w:p w14:paraId="2EFED4BF">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质疑受理机构</w:t>
      </w:r>
    </w:p>
    <w:p w14:paraId="3D4E9EE9">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采购代理机构负责受理和答复质疑。</w:t>
      </w:r>
    </w:p>
    <w:p w14:paraId="1DCD7EC4">
      <w:pPr>
        <w:rPr>
          <w:rFonts w:hint="eastAsia" w:ascii="宋体" w:hAnsi="宋体" w:cs="宋体"/>
          <w:color w:val="auto"/>
          <w:sz w:val="22"/>
          <w:highlight w:val="none"/>
        </w:rPr>
      </w:pPr>
    </w:p>
    <w:p w14:paraId="0DAD5585">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质疑处理原则</w:t>
      </w:r>
    </w:p>
    <w:p w14:paraId="7B97CB4C">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质疑处理遵循公平、公正、规范、高效的原则。</w:t>
      </w:r>
    </w:p>
    <w:p w14:paraId="20FA2E35">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供应商质疑实行实名制和“谁质疑，谁举证”的原则，质疑应有具体的事项及事实根据。</w:t>
      </w:r>
    </w:p>
    <w:p w14:paraId="6C7ABAB4">
      <w:pPr>
        <w:ind w:left="907"/>
        <w:rPr>
          <w:rFonts w:hint="eastAsia" w:ascii="宋体" w:hAnsi="宋体" w:cs="宋体"/>
          <w:color w:val="auto"/>
          <w:sz w:val="22"/>
          <w:highlight w:val="none"/>
        </w:rPr>
      </w:pPr>
    </w:p>
    <w:p w14:paraId="02DBAC1C">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质疑受理的时效和范围</w:t>
      </w:r>
    </w:p>
    <w:p w14:paraId="33B2BE48">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供应商认为采购文件、采购过程和中标、成交结果使自己权益受到损害的，可以在知道或者应知其权益受到损害之日起七个工作日内，以书面形式向政府采购代理机构提出质疑。</w:t>
      </w:r>
    </w:p>
    <w:p w14:paraId="15DFAFB8">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供应商对采购文件有疑问的，政府采购代理机构按答疑程序处理；供应商对采购文件有异议的，按质疑程序处理。</w:t>
      </w:r>
    </w:p>
    <w:p w14:paraId="346D4FD8">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供应商在法定质疑期内一次性提出针对同一采购程序环节的质疑。</w:t>
      </w:r>
    </w:p>
    <w:p w14:paraId="2B52ADA8">
      <w:pPr>
        <w:ind w:left="907"/>
        <w:rPr>
          <w:rFonts w:hint="eastAsia" w:ascii="宋体" w:hAnsi="宋体" w:cs="宋体"/>
          <w:color w:val="auto"/>
          <w:sz w:val="22"/>
          <w:highlight w:val="none"/>
        </w:rPr>
      </w:pPr>
    </w:p>
    <w:p w14:paraId="5AC16E9F">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质疑条件</w:t>
      </w:r>
    </w:p>
    <w:p w14:paraId="18044325">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提出质疑的应是直接参与相应采购项目的供应商。以联合体形式参与的，由联合体共同提出；</w:t>
      </w:r>
    </w:p>
    <w:p w14:paraId="5B055641">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提供质疑的项目名称和编号、质疑供应商的单位名称、详细地址、邮政编码、联系人及联系电话等基本情况；</w:t>
      </w:r>
    </w:p>
    <w:p w14:paraId="11C50D24">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有质疑的具体事项、请求及理由，并附相关证据材料；</w:t>
      </w:r>
    </w:p>
    <w:p w14:paraId="64D7F0AE">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质疑书加盖公章，被授权人进行质疑的同时提交法人授权委托书；</w:t>
      </w:r>
    </w:p>
    <w:p w14:paraId="4B4C115B">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质疑材料中有外文资料的，应一并附上中文译本，并以中文译本为准。</w:t>
      </w:r>
    </w:p>
    <w:p w14:paraId="6695D1CC">
      <w:pPr>
        <w:ind w:left="907"/>
        <w:rPr>
          <w:rFonts w:hint="eastAsia" w:ascii="宋体" w:hAnsi="宋体" w:cs="宋体"/>
          <w:color w:val="auto"/>
          <w:sz w:val="22"/>
          <w:highlight w:val="none"/>
        </w:rPr>
      </w:pPr>
    </w:p>
    <w:p w14:paraId="342C7023">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受理质疑办理程序</w:t>
      </w:r>
    </w:p>
    <w:p w14:paraId="359BE5D5">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先与质疑供应商进行沟通，以消除因误解或对采购规则和程序的不了解而引起的质疑。对沟通情况满意的，供应商撤回质疑，质疑处理程序终止。</w:t>
      </w:r>
    </w:p>
    <w:p w14:paraId="448C8871">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处理质疑一般进行书面审查；必要时听取各方当事人的陈述和申辩、进行相关调查；组织原评审委员会或谈判小组进行复议。</w:t>
      </w:r>
    </w:p>
    <w:p w14:paraId="13F8AFBA">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在质疑处理期间，采购代理机构视情形决定暂停采购活动。</w:t>
      </w:r>
    </w:p>
    <w:p w14:paraId="5B0E1F5C">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采购代理机构原则上在质疑受理之日起七个工作日内书面答复质疑供应商。答复函以直接领取、传真或邮寄方式送达。</w:t>
      </w:r>
    </w:p>
    <w:p w14:paraId="17F0B4FB">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供应商向采购代理机构提出质疑后，在质疑处理期限内，不得同时向其他方面提起同一质疑。</w:t>
      </w:r>
    </w:p>
    <w:p w14:paraId="43DA61E7">
      <w:pPr>
        <w:ind w:left="907"/>
        <w:rPr>
          <w:rFonts w:hint="eastAsia" w:ascii="宋体" w:hAnsi="宋体" w:cs="宋体"/>
          <w:color w:val="auto"/>
          <w:sz w:val="22"/>
          <w:highlight w:val="none"/>
        </w:rPr>
      </w:pPr>
    </w:p>
    <w:p w14:paraId="095CC6A5">
      <w:pPr>
        <w:numPr>
          <w:ilvl w:val="0"/>
          <w:numId w:val="12"/>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相关责任与义务</w:t>
      </w:r>
    </w:p>
    <w:p w14:paraId="6EF3E63F">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采购单位、评标专家和相关供应商等当事人应积极配合政府采购代理机构进行质疑调查，如实反映情况，及时提供证明材料。</w:t>
      </w:r>
    </w:p>
    <w:p w14:paraId="62FCAC47">
      <w:pPr>
        <w:numPr>
          <w:ilvl w:val="1"/>
          <w:numId w:val="18"/>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质疑供应商有下列情形之一的，属于虚假、恶意质疑，并视情节提请政府采购监督管理部门给予一定年限内禁止参与政府采购活动资格或其他处罚：</w:t>
      </w:r>
    </w:p>
    <w:p w14:paraId="153DA789">
      <w:pPr>
        <w:numPr>
          <w:ilvl w:val="2"/>
          <w:numId w:val="19"/>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捏造事实或提供虚假证明材料的；</w:t>
      </w:r>
    </w:p>
    <w:p w14:paraId="5BC2CDB1">
      <w:pPr>
        <w:numPr>
          <w:ilvl w:val="2"/>
          <w:numId w:val="19"/>
        </w:numPr>
        <w:ind w:left="950" w:hanging="950" w:hangingChars="432"/>
        <w:rPr>
          <w:rFonts w:hint="eastAsia" w:ascii="宋体" w:hAnsi="宋体" w:cs="宋体"/>
          <w:color w:val="auto"/>
          <w:sz w:val="22"/>
          <w:highlight w:val="none"/>
        </w:rPr>
      </w:pPr>
      <w:r>
        <w:rPr>
          <w:rFonts w:hint="eastAsia" w:ascii="宋体" w:hAnsi="宋体" w:cs="宋体"/>
          <w:color w:val="auto"/>
          <w:sz w:val="22"/>
          <w:highlight w:val="none"/>
        </w:rPr>
        <w:t>假冒他人名义进行质疑的；</w:t>
      </w:r>
    </w:p>
    <w:p w14:paraId="7F2E5402">
      <w:pPr>
        <w:pStyle w:val="2"/>
        <w:rPr>
          <w:rFonts w:hint="eastAsia" w:ascii="宋体" w:hAnsi="宋体" w:cs="宋体"/>
          <w:color w:val="auto"/>
          <w:sz w:val="22"/>
          <w:szCs w:val="22"/>
          <w:highlight w:val="none"/>
        </w:rPr>
      </w:pPr>
      <w:r>
        <w:rPr>
          <w:rFonts w:hint="eastAsia" w:ascii="宋体" w:hAnsi="宋体" w:cs="宋体"/>
          <w:color w:val="auto"/>
          <w:sz w:val="22"/>
          <w:szCs w:val="22"/>
          <w:highlight w:val="none"/>
        </w:rPr>
        <w:br w:type="page"/>
      </w:r>
    </w:p>
    <w:p w14:paraId="530F6BF4">
      <w:pPr>
        <w:pStyle w:val="2"/>
        <w:rPr>
          <w:rFonts w:hint="eastAsia" w:ascii="宋体" w:hAnsi="宋体" w:cs="宋体"/>
          <w:color w:val="auto"/>
          <w:sz w:val="22"/>
          <w:szCs w:val="22"/>
          <w:highlight w:val="none"/>
        </w:rPr>
      </w:pPr>
    </w:p>
    <w:p w14:paraId="1AFFEBC3">
      <w:pPr>
        <w:pStyle w:val="2"/>
        <w:rPr>
          <w:rFonts w:hint="eastAsia" w:ascii="宋体" w:hAnsi="宋体" w:cs="宋体"/>
          <w:color w:val="auto"/>
          <w:sz w:val="22"/>
          <w:szCs w:val="22"/>
          <w:highlight w:val="none"/>
        </w:rPr>
      </w:pPr>
    </w:p>
    <w:p w14:paraId="0F01905D">
      <w:pPr>
        <w:pStyle w:val="2"/>
        <w:rPr>
          <w:rFonts w:hint="eastAsia" w:ascii="宋体" w:hAnsi="宋体" w:cs="宋体"/>
          <w:color w:val="auto"/>
          <w:sz w:val="22"/>
          <w:szCs w:val="22"/>
          <w:highlight w:val="none"/>
        </w:rPr>
      </w:pPr>
    </w:p>
    <w:p w14:paraId="7A33D51F">
      <w:pPr>
        <w:pStyle w:val="2"/>
        <w:rPr>
          <w:rFonts w:hint="eastAsia" w:ascii="宋体" w:hAnsi="宋体" w:cs="宋体"/>
          <w:color w:val="auto"/>
          <w:sz w:val="22"/>
          <w:szCs w:val="22"/>
          <w:highlight w:val="none"/>
        </w:rPr>
      </w:pPr>
    </w:p>
    <w:p w14:paraId="5CA34832">
      <w:pPr>
        <w:pStyle w:val="2"/>
        <w:rPr>
          <w:rFonts w:hint="eastAsia" w:ascii="宋体" w:hAnsi="宋体" w:cs="宋体"/>
          <w:color w:val="auto"/>
          <w:sz w:val="22"/>
          <w:szCs w:val="22"/>
          <w:highlight w:val="none"/>
        </w:rPr>
      </w:pPr>
    </w:p>
    <w:p w14:paraId="1BF8F270">
      <w:pPr>
        <w:pStyle w:val="2"/>
        <w:rPr>
          <w:rFonts w:hint="eastAsia" w:ascii="宋体" w:hAnsi="宋体" w:cs="宋体"/>
          <w:color w:val="auto"/>
          <w:sz w:val="22"/>
          <w:szCs w:val="22"/>
          <w:highlight w:val="none"/>
        </w:rPr>
      </w:pPr>
    </w:p>
    <w:p w14:paraId="03C1DEE6">
      <w:pPr>
        <w:pStyle w:val="2"/>
        <w:rPr>
          <w:rFonts w:hint="eastAsia" w:ascii="宋体" w:hAnsi="宋体" w:cs="宋体"/>
          <w:b/>
          <w:color w:val="auto"/>
          <w:sz w:val="52"/>
          <w:szCs w:val="52"/>
          <w:highlight w:val="none"/>
        </w:rPr>
      </w:pPr>
      <w:r>
        <w:rPr>
          <w:rFonts w:hint="eastAsia" w:ascii="宋体" w:hAnsi="宋体" w:cs="宋体"/>
          <w:b/>
          <w:color w:val="auto"/>
          <w:sz w:val="52"/>
          <w:szCs w:val="52"/>
          <w:highlight w:val="none"/>
        </w:rPr>
        <w:t>第三册  附件</w:t>
      </w:r>
    </w:p>
    <w:p w14:paraId="7ECE1AEB">
      <w:pPr>
        <w:rPr>
          <w:rFonts w:hint="eastAsia" w:ascii="宋体" w:hAnsi="宋体" w:cs="宋体"/>
          <w:color w:val="auto"/>
          <w:sz w:val="22"/>
          <w:highlight w:val="none"/>
        </w:rPr>
      </w:pPr>
    </w:p>
    <w:p w14:paraId="038FB345">
      <w:pPr>
        <w:pStyle w:val="4"/>
        <w:numPr>
          <w:ilvl w:val="0"/>
          <w:numId w:val="20"/>
        </w:numPr>
        <w:spacing w:before="0" w:after="0"/>
        <w:jc w:val="center"/>
        <w:rPr>
          <w:rFonts w:hint="eastAsia"/>
          <w:color w:val="auto"/>
          <w:highlight w:val="none"/>
        </w:rPr>
      </w:pPr>
      <w:r>
        <w:rPr>
          <w:rFonts w:hint="eastAsia" w:ascii="宋体" w:hAnsi="宋体" w:cs="宋体"/>
          <w:color w:val="auto"/>
          <w:szCs w:val="21"/>
          <w:highlight w:val="none"/>
        </w:rPr>
        <w:br w:type="page"/>
      </w:r>
      <w:bookmarkStart w:id="248" w:name="_Toc73613644"/>
      <w:bookmarkStart w:id="249" w:name="_Toc73610162"/>
      <w:r>
        <w:rPr>
          <w:rFonts w:hint="eastAsia"/>
          <w:color w:val="auto"/>
          <w:highlight w:val="none"/>
        </w:rPr>
        <w:t>财政部 工业和信息化部关于印发《政府采购促进中小企业发展管理办法》的通知</w:t>
      </w:r>
      <w:bookmarkEnd w:id="248"/>
      <w:bookmarkEnd w:id="249"/>
    </w:p>
    <w:p w14:paraId="0173EFEB">
      <w:pPr>
        <w:rPr>
          <w:rFonts w:hint="eastAsia"/>
          <w:color w:val="auto"/>
          <w:highlight w:val="none"/>
        </w:rPr>
      </w:pPr>
    </w:p>
    <w:p w14:paraId="14E5C47B">
      <w:pPr>
        <w:rPr>
          <w:color w:val="auto"/>
          <w:highlight w:val="none"/>
        </w:rPr>
      </w:pPr>
    </w:p>
    <w:p w14:paraId="77EC6146">
      <w:pPr>
        <w:pStyle w:val="39"/>
        <w:shd w:val="clear" w:color="auto" w:fill="FFFFFF"/>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财库〔2020〕46号</w:t>
      </w:r>
    </w:p>
    <w:p w14:paraId="5BD95A8C">
      <w:pPr>
        <w:pStyle w:val="39"/>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rPr>
        <w:t>各中央预算单位办公厅（室），各省、自治区、直辖市、计划单列市财政厅（局）、工业和信息化主管部门，新疆生产建设兵团财政局、工业和信息化主管部门：</w:t>
      </w:r>
    </w:p>
    <w:p w14:paraId="6F5F3C58">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14873F76">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附件：政府采购促进中小企业发展管理办法</w:t>
      </w:r>
    </w:p>
    <w:p w14:paraId="35CA26BC">
      <w:pPr>
        <w:pStyle w:val="39"/>
        <w:shd w:val="clear" w:color="auto" w:fill="FFFFFF"/>
        <w:spacing w:line="360" w:lineRule="auto"/>
        <w:jc w:val="right"/>
        <w:rPr>
          <w:rFonts w:ascii="宋体" w:hAnsi="宋体"/>
          <w:color w:val="auto"/>
          <w:sz w:val="21"/>
          <w:szCs w:val="21"/>
          <w:highlight w:val="none"/>
        </w:rPr>
      </w:pPr>
      <w:r>
        <w:rPr>
          <w:rFonts w:hint="eastAsia" w:ascii="宋体" w:hAnsi="宋体"/>
          <w:color w:val="auto"/>
          <w:sz w:val="21"/>
          <w:szCs w:val="21"/>
          <w:highlight w:val="none"/>
        </w:rPr>
        <w:t>财　　政　　部</w:t>
      </w:r>
    </w:p>
    <w:p w14:paraId="074BB396">
      <w:pPr>
        <w:pStyle w:val="39"/>
        <w:shd w:val="clear" w:color="auto" w:fill="FFFFFF"/>
        <w:spacing w:line="360" w:lineRule="auto"/>
        <w:jc w:val="right"/>
        <w:rPr>
          <w:rFonts w:ascii="宋体" w:hAnsi="宋体"/>
          <w:color w:val="auto"/>
          <w:sz w:val="21"/>
          <w:szCs w:val="21"/>
          <w:highlight w:val="none"/>
        </w:rPr>
      </w:pPr>
      <w:r>
        <w:rPr>
          <w:rFonts w:hint="eastAsia" w:ascii="宋体" w:hAnsi="宋体"/>
          <w:color w:val="auto"/>
          <w:sz w:val="21"/>
          <w:szCs w:val="21"/>
          <w:highlight w:val="none"/>
        </w:rPr>
        <w:t>工业和信息化部</w:t>
      </w:r>
    </w:p>
    <w:p w14:paraId="0586D42B">
      <w:pPr>
        <w:pStyle w:val="39"/>
        <w:shd w:val="clear" w:color="auto" w:fill="FFFFFF"/>
        <w:spacing w:line="360" w:lineRule="auto"/>
        <w:jc w:val="right"/>
        <w:rPr>
          <w:rFonts w:ascii="宋体" w:hAnsi="宋体"/>
          <w:color w:val="auto"/>
          <w:sz w:val="21"/>
          <w:szCs w:val="21"/>
          <w:highlight w:val="none"/>
        </w:rPr>
      </w:pPr>
      <w:r>
        <w:rPr>
          <w:rFonts w:hint="eastAsia" w:ascii="宋体" w:hAnsi="宋体"/>
          <w:color w:val="auto"/>
          <w:sz w:val="21"/>
          <w:szCs w:val="21"/>
          <w:highlight w:val="none"/>
        </w:rPr>
        <w:t>2020年12月18日</w:t>
      </w:r>
    </w:p>
    <w:p w14:paraId="1A245CB2">
      <w:pPr>
        <w:pStyle w:val="39"/>
        <w:shd w:val="clear" w:color="auto" w:fill="FFFFFF"/>
        <w:spacing w:line="360" w:lineRule="auto"/>
        <w:ind w:firstLine="480"/>
        <w:rPr>
          <w:rFonts w:ascii="宋体" w:hAnsi="宋体"/>
          <w:color w:val="auto"/>
          <w:sz w:val="21"/>
          <w:szCs w:val="21"/>
          <w:highlight w:val="none"/>
        </w:rPr>
      </w:pPr>
    </w:p>
    <w:p w14:paraId="415A02BA">
      <w:pPr>
        <w:pStyle w:val="39"/>
        <w:shd w:val="clear" w:color="auto" w:fill="FFFFFF"/>
        <w:spacing w:line="360" w:lineRule="auto"/>
        <w:rPr>
          <w:rFonts w:ascii="宋体" w:hAnsi="宋体"/>
          <w:color w:val="auto"/>
          <w:sz w:val="21"/>
          <w:szCs w:val="21"/>
          <w:highlight w:val="none"/>
        </w:rPr>
      </w:pPr>
      <w:r>
        <w:rPr>
          <w:rFonts w:hint="eastAsia" w:ascii="宋体" w:hAnsi="宋体"/>
          <w:b/>
          <w:bCs/>
          <w:color w:val="auto"/>
          <w:sz w:val="21"/>
          <w:szCs w:val="21"/>
          <w:highlight w:val="none"/>
        </w:rPr>
        <w:t>附件</w:t>
      </w:r>
    </w:p>
    <w:p w14:paraId="01FB4D75">
      <w:pPr>
        <w:pStyle w:val="39"/>
        <w:shd w:val="clear" w:color="auto" w:fill="FFFFFF"/>
        <w:spacing w:line="360" w:lineRule="auto"/>
        <w:ind w:firstLine="480"/>
        <w:rPr>
          <w:rFonts w:ascii="宋体" w:hAnsi="宋体"/>
          <w:color w:val="auto"/>
          <w:sz w:val="21"/>
          <w:szCs w:val="21"/>
          <w:highlight w:val="none"/>
        </w:rPr>
      </w:pPr>
    </w:p>
    <w:p w14:paraId="6E9406E8">
      <w:pPr>
        <w:pStyle w:val="39"/>
        <w:shd w:val="clear" w:color="auto" w:fill="FFFFFF"/>
        <w:spacing w:line="360" w:lineRule="auto"/>
        <w:jc w:val="center"/>
        <w:rPr>
          <w:rFonts w:ascii="宋体" w:hAnsi="宋体"/>
          <w:color w:val="auto"/>
          <w:sz w:val="21"/>
          <w:szCs w:val="21"/>
          <w:highlight w:val="none"/>
        </w:rPr>
      </w:pPr>
      <w:r>
        <w:rPr>
          <w:rFonts w:hint="eastAsia" w:ascii="宋体" w:hAnsi="宋体"/>
          <w:b/>
          <w:bCs/>
          <w:color w:val="auto"/>
          <w:sz w:val="21"/>
          <w:szCs w:val="21"/>
          <w:highlight w:val="none"/>
        </w:rPr>
        <w:t>政府采购促进中小企业发展管理办法</w:t>
      </w:r>
    </w:p>
    <w:p w14:paraId="56C33584">
      <w:pPr>
        <w:pStyle w:val="39"/>
        <w:shd w:val="clear" w:color="auto" w:fill="FFFFFF"/>
        <w:spacing w:line="360" w:lineRule="auto"/>
        <w:ind w:firstLine="480"/>
        <w:rPr>
          <w:rFonts w:ascii="宋体" w:hAnsi="宋体"/>
          <w:color w:val="auto"/>
          <w:sz w:val="21"/>
          <w:szCs w:val="21"/>
          <w:highlight w:val="none"/>
        </w:rPr>
      </w:pPr>
    </w:p>
    <w:p w14:paraId="0306B5F1">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第一条</w:t>
      </w:r>
      <w:r>
        <w:rPr>
          <w:rFonts w:hint="eastAsia" w:ascii="宋体" w:hAnsi="宋体"/>
          <w:color w:val="auto"/>
          <w:sz w:val="21"/>
          <w:szCs w:val="21"/>
          <w:highlight w:val="none"/>
        </w:rPr>
        <w:t>　为了发挥政府采购的政策功能，促进中小企业健康发展，根据《中华人民共和国政府采购法》、《中华人民共和国中小企业促进法》等有关法律法规，制定本办法。</w:t>
      </w:r>
    </w:p>
    <w:p w14:paraId="477F855A">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第二条</w:t>
      </w:r>
      <w:r>
        <w:rPr>
          <w:rFonts w:hint="eastAsia" w:ascii="宋体" w:hAnsi="宋体"/>
          <w:color w:val="auto"/>
          <w:sz w:val="21"/>
          <w:szCs w:val="21"/>
          <w:highlight w:val="none"/>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37B330D8">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符合中小企业划分标准的个体工商户，在政府采购活动中视同中小企业。</w:t>
      </w:r>
    </w:p>
    <w:p w14:paraId="2963CD7E">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第三条</w:t>
      </w:r>
      <w:r>
        <w:rPr>
          <w:rFonts w:hint="eastAsia" w:ascii="宋体" w:hAnsi="宋体"/>
          <w:color w:val="auto"/>
          <w:sz w:val="21"/>
          <w:szCs w:val="21"/>
          <w:highlight w:val="none"/>
        </w:rPr>
        <w:t>　采购人在政府采购活动中应当通过加强采购需求管理，落实预留采购份额、价格评审优惠、优先采购等措施，提高中小企业在政府采购中的份额，支持中小企业发展。</w:t>
      </w:r>
    </w:p>
    <w:p w14:paraId="167B8851">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第四条</w:t>
      </w:r>
      <w:r>
        <w:rPr>
          <w:rFonts w:hint="eastAsia" w:ascii="宋体" w:hAnsi="宋体"/>
          <w:color w:val="auto"/>
          <w:sz w:val="21"/>
          <w:szCs w:val="21"/>
          <w:highlight w:val="none"/>
        </w:rPr>
        <w:t>　在政府采购活动中，供应商提供的货物、工程或者服务符合下列情形的，享受本办法规定的中小企业扶持政策：</w:t>
      </w:r>
    </w:p>
    <w:p w14:paraId="33E5E259">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（一）在货物采购项目中，货物由中小企业制造，即货物由中小企业生产且使用该中小企业商号或者注册商标；</w:t>
      </w:r>
    </w:p>
    <w:p w14:paraId="4B4530E7">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（二）在工程采购项目中，工程由中小企业承建，即工程施工单位为中小企业；</w:t>
      </w:r>
    </w:p>
    <w:p w14:paraId="36601CD1">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（三）在服务采购项目中，服务由中小企业承接，即提供服务的人员为中小企业依照《中华人民共和国劳动合同法》订立劳动合同的从业人员。</w:t>
      </w:r>
    </w:p>
    <w:p w14:paraId="4D637D9E">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在货物采购项目中，供应商提供的货物既有中小企业制造货物，也有大型企业制造货物的，不享受本办法规定的中小企业扶持政策。</w:t>
      </w:r>
    </w:p>
    <w:p w14:paraId="506CF777">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以联合体形式参加政府采购活动，联合体各方均为中小企业的，联合体视同中小企业。其中，联合体各方均为小微企业的，联合体视同小微企业。</w:t>
      </w:r>
    </w:p>
    <w:p w14:paraId="64C37EC6">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第五条</w:t>
      </w:r>
      <w:r>
        <w:rPr>
          <w:rFonts w:hint="eastAsia" w:ascii="宋体" w:hAnsi="宋体"/>
          <w:color w:val="auto"/>
          <w:sz w:val="21"/>
          <w:szCs w:val="21"/>
          <w:highlight w:val="none"/>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2930DEC0">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第六条</w:t>
      </w:r>
      <w:r>
        <w:rPr>
          <w:rFonts w:hint="eastAsia" w:ascii="宋体" w:hAnsi="宋体"/>
          <w:color w:val="auto"/>
          <w:sz w:val="21"/>
          <w:szCs w:val="21"/>
          <w:highlight w:val="none"/>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52128635">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符合下列情形之一的，可不专门面向中小企业预留采购份额：</w:t>
      </w:r>
    </w:p>
    <w:p w14:paraId="0F74FC34">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（一）法律法规和国家有关政策明确规定优先或者应当面向事业单位、社会组织等非企业主体采购的；</w:t>
      </w:r>
    </w:p>
    <w:p w14:paraId="46EDFCAA">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（二）因确需使用不可替代的专利、专有技术，基础设施限制，或者提供特定公共服务等原因，只能从中小企业之外的供应商处采购的；</w:t>
      </w:r>
    </w:p>
    <w:p w14:paraId="0C738C74">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（三）按照本办法规定预留采购份额无法确保充分供应、充分竞争，或者存在可能影响政府采购目标实现的情形；</w:t>
      </w:r>
    </w:p>
    <w:p w14:paraId="3DCB2310">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（四）框架协议采购项目；</w:t>
      </w:r>
    </w:p>
    <w:p w14:paraId="7F53BB5C">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（五）省级以上人民政府财政部门规定的其他情形。</w:t>
      </w:r>
    </w:p>
    <w:p w14:paraId="08E14121">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除上述情形外，其他均为适宜由中小企业提供的情形。</w:t>
      </w:r>
    </w:p>
    <w:p w14:paraId="08F85AB3">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第七条</w:t>
      </w:r>
      <w:r>
        <w:rPr>
          <w:rFonts w:hint="eastAsia" w:ascii="宋体" w:hAnsi="宋体"/>
          <w:color w:val="auto"/>
          <w:sz w:val="21"/>
          <w:szCs w:val="21"/>
          <w:highlight w:val="none"/>
        </w:rPr>
        <w:t>　采购限额标准以上，200万元以下的货物和服务采购项目、400万元以下的工程采购项目，适宜由中小企业提供的，采购人应当专门面向中小企业采购。</w:t>
      </w:r>
    </w:p>
    <w:p w14:paraId="6523BDFB">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第八条</w:t>
      </w:r>
      <w:r>
        <w:rPr>
          <w:rFonts w:hint="eastAsia" w:ascii="宋体" w:hAnsi="宋体"/>
          <w:color w:val="auto"/>
          <w:sz w:val="21"/>
          <w:szCs w:val="21"/>
          <w:highlight w:val="none"/>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2FAFE624">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（一）将采购项目整体或者设置采购包专门面向中小企业采购；</w:t>
      </w:r>
    </w:p>
    <w:p w14:paraId="250ECD70">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（二）要求供应商以联合体形式参加采购活动，且联合体中中小企业承担的部分达到一定比例；</w:t>
      </w:r>
    </w:p>
    <w:p w14:paraId="447D1F72">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（三）要求获得采购合同的供应商将采购项目中的一定比例分包给一家或者多家中小企业。</w:t>
      </w:r>
    </w:p>
    <w:p w14:paraId="229430A9">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组成联合体或者接受分包合同的中小企业与联合体内其他企业、分包企业之间不得存在直接控股、管理关系。</w:t>
      </w:r>
    </w:p>
    <w:p w14:paraId="02A78457">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第九条</w:t>
      </w:r>
      <w:r>
        <w:rPr>
          <w:rFonts w:hint="eastAsia" w:ascii="宋体" w:hAnsi="宋体"/>
          <w:color w:val="auto"/>
          <w:sz w:val="21"/>
          <w:szCs w:val="21"/>
          <w:highlight w:val="none"/>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7E902EB">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737CE7DE">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0556E842">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第十条</w:t>
      </w:r>
      <w:r>
        <w:rPr>
          <w:rFonts w:hint="eastAsia" w:ascii="宋体" w:hAnsi="宋体"/>
          <w:color w:val="auto"/>
          <w:sz w:val="21"/>
          <w:szCs w:val="21"/>
          <w:highlight w:val="none"/>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7A512AE3">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第十一条</w:t>
      </w:r>
      <w:r>
        <w:rPr>
          <w:rFonts w:hint="eastAsia" w:ascii="宋体" w:hAnsi="宋体"/>
          <w:color w:val="auto"/>
          <w:sz w:val="21"/>
          <w:szCs w:val="21"/>
          <w:highlight w:val="none"/>
        </w:rPr>
        <w:t>　中小企业参加政府采购活动，应当出具本办法规定的《中小企业声明函》（附1），否则不得享受相关中小企业扶持政策。任何单位和个人不得要求供应商提供《中小企业声明函》之外的中小企业身份证明文件。</w:t>
      </w:r>
    </w:p>
    <w:p w14:paraId="2B55A800">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第十二条</w:t>
      </w:r>
      <w:r>
        <w:rPr>
          <w:rFonts w:hint="eastAsia" w:ascii="宋体" w:hAnsi="宋体"/>
          <w:color w:val="auto"/>
          <w:sz w:val="21"/>
          <w:szCs w:val="21"/>
          <w:highlight w:val="none"/>
        </w:rPr>
        <w:t>　采购项目涉及中小企业采购的，采购文件应当明确以下内容：</w:t>
      </w:r>
    </w:p>
    <w:p w14:paraId="484E9144">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（一）预留份额的采购项目或者采购包，明确该项目或相关采购包专门面向中小企业采购，以及相关标的及预算金额；</w:t>
      </w:r>
    </w:p>
    <w:p w14:paraId="7BF22091">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（二）要求以联合体形式参加或者合同分包的，明确联合协议或者分包意向协议中中小企业合同金额应当达到的比例，并作为供应商资格条件；</w:t>
      </w:r>
    </w:p>
    <w:p w14:paraId="135BD0D2">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（三）非预留份额的采购项目或者采购包，明确有关价格扣除比例或者价格分加分比例；</w:t>
      </w:r>
    </w:p>
    <w:p w14:paraId="6EAE421E">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（四）规定依据本办法规定享受扶持政策获得政府采购合同的，小微企业不得将合同分包给大中型企业，中型企业不得将合同分包给大型企业；</w:t>
      </w:r>
    </w:p>
    <w:p w14:paraId="62BA7004">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（五）采购人认为具备相关条件的，明确对中小企业在资金支付期限、预付款比例等方面的优惠措施；</w:t>
      </w:r>
    </w:p>
    <w:p w14:paraId="69FFFB36">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（六）明确采购标的对应的中小企业划分标准所属行业；</w:t>
      </w:r>
    </w:p>
    <w:p w14:paraId="2F4E372D">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（七）法律法规和省级以上人民政府财政部门规定的其他事项。</w:t>
      </w:r>
    </w:p>
    <w:p w14:paraId="17A44B0E">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第十三条</w:t>
      </w:r>
      <w:r>
        <w:rPr>
          <w:rFonts w:hint="eastAsia" w:ascii="宋体" w:hAnsi="宋体"/>
          <w:color w:val="auto"/>
          <w:sz w:val="21"/>
          <w:szCs w:val="21"/>
          <w:highlight w:val="none"/>
        </w:rPr>
        <w:t>　中标、成交供应商享受本办法规定的中小企业扶持政策的，采购人、采购代理机构应当随中标、成交结果公开中标、成交供应商的《中小企业声明函》。</w:t>
      </w:r>
    </w:p>
    <w:p w14:paraId="7D69DFCA">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适用招标投标法的政府采购工程建设项目，应当在公示中标候选人时公开中标候选人的《中小企业声明函》。</w:t>
      </w:r>
    </w:p>
    <w:p w14:paraId="08C711F9">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第十四条</w:t>
      </w:r>
      <w:r>
        <w:rPr>
          <w:rFonts w:hint="eastAsia" w:ascii="宋体" w:hAnsi="宋体"/>
          <w:color w:val="auto"/>
          <w:sz w:val="21"/>
          <w:szCs w:val="21"/>
          <w:highlight w:val="none"/>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C041988">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第十五条</w:t>
      </w:r>
      <w:r>
        <w:rPr>
          <w:rFonts w:hint="eastAsia" w:ascii="宋体" w:hAnsi="宋体"/>
          <w:color w:val="auto"/>
          <w:sz w:val="21"/>
          <w:szCs w:val="21"/>
          <w:highlight w:val="none"/>
        </w:rPr>
        <w:t>　鼓励各地区、各部门在采购活动中允许中小企业引入信用担保手段，为中小企业在投标（响应）保证、履约保证等方面提供专业化服务。鼓励中小企业依法合规通过政府采购合同融资。</w:t>
      </w:r>
    </w:p>
    <w:p w14:paraId="12CE86C9">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第十六条</w:t>
      </w:r>
      <w:r>
        <w:rPr>
          <w:rFonts w:hint="eastAsia" w:ascii="宋体" w:hAnsi="宋体"/>
          <w:color w:val="auto"/>
          <w:sz w:val="21"/>
          <w:szCs w:val="21"/>
          <w:highlight w:val="none"/>
        </w:rPr>
        <w:t>　政府采购监督检查、投诉处理及政府采购行政处罚中对中小企业的认定，由货物制造商或者工程、服务供应商注册登记所在地的县级以上人民政府中小企业主管部门负责。</w:t>
      </w:r>
    </w:p>
    <w:p w14:paraId="6102C0C8">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中小企业主管部门应当在收到财政部门或者有关招标投标行政监督部门关于协助开展中小企业认定函后10个工作日内做出书面答复。</w:t>
      </w:r>
    </w:p>
    <w:p w14:paraId="7FD583F2">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第十七条</w:t>
      </w:r>
      <w:r>
        <w:rPr>
          <w:rFonts w:hint="eastAsia" w:ascii="宋体" w:hAnsi="宋体"/>
          <w:color w:val="auto"/>
          <w:sz w:val="21"/>
          <w:szCs w:val="21"/>
          <w:highlight w:val="none"/>
        </w:rPr>
        <w:t>　各地区、各部门应当对涉及中小企业采购的预算项目实施全过程绩效管理，合理设置绩效目标和指标，落实扶持中小企业有关政策要求，定期开展绩效监控和评价，强化绩效评价结果应用。</w:t>
      </w:r>
    </w:p>
    <w:p w14:paraId="3E3911AF">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第十八条</w:t>
      </w:r>
      <w:r>
        <w:rPr>
          <w:rFonts w:hint="eastAsia" w:ascii="宋体" w:hAnsi="宋体"/>
          <w:color w:val="auto"/>
          <w:sz w:val="21"/>
          <w:szCs w:val="21"/>
          <w:highlight w:val="none"/>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3454EA05">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第十九条</w:t>
      </w:r>
      <w:r>
        <w:rPr>
          <w:rFonts w:hint="eastAsia" w:ascii="宋体" w:hAnsi="宋体"/>
          <w:color w:val="auto"/>
          <w:sz w:val="21"/>
          <w:szCs w:val="21"/>
          <w:highlight w:val="none"/>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496AC3D5">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第二十条</w:t>
      </w:r>
      <w:r>
        <w:rPr>
          <w:rFonts w:hint="eastAsia" w:ascii="宋体" w:hAnsi="宋体"/>
          <w:color w:val="auto"/>
          <w:sz w:val="21"/>
          <w:szCs w:val="21"/>
          <w:highlight w:val="none"/>
        </w:rPr>
        <w:t>　供应商按照本办法规定提供声明函内容不实的，属于提供虚假材料谋取中标、成交，依照《中华人民共和国政府采购法》等国家有关规定追究相应责任。</w:t>
      </w:r>
    </w:p>
    <w:p w14:paraId="44203CD5">
      <w:pPr>
        <w:pStyle w:val="39"/>
        <w:shd w:val="clear" w:color="auto" w:fill="FFFFFF"/>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适用招标投标法的政府采购工程建设项目，投标人按照本办法规定提供声明函内容不实的，属于弄虚作假骗取中标，依照《中华人民共和国招标投标法》等国家有关规定追究相应责任。</w:t>
      </w:r>
    </w:p>
    <w:p w14:paraId="48663A42">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第二十一条</w:t>
      </w:r>
      <w:r>
        <w:rPr>
          <w:rFonts w:hint="eastAsia" w:ascii="宋体" w:hAnsi="宋体"/>
          <w:color w:val="auto"/>
          <w:sz w:val="21"/>
          <w:szCs w:val="21"/>
          <w:highlight w:val="none"/>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01A1EFF4">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第二十二条</w:t>
      </w:r>
      <w:r>
        <w:rPr>
          <w:rFonts w:hint="eastAsia" w:ascii="宋体" w:hAnsi="宋体"/>
          <w:color w:val="auto"/>
          <w:sz w:val="21"/>
          <w:szCs w:val="21"/>
          <w:highlight w:val="none"/>
        </w:rPr>
        <w:t>　对外援助项目、国家相关资格或者资质管理制度另有规定的项目，不适用本办法。</w:t>
      </w:r>
    </w:p>
    <w:p w14:paraId="7488B428">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第二十三条</w:t>
      </w:r>
      <w:r>
        <w:rPr>
          <w:rFonts w:hint="eastAsia" w:ascii="宋体" w:hAnsi="宋体"/>
          <w:color w:val="auto"/>
          <w:sz w:val="21"/>
          <w:szCs w:val="21"/>
          <w:highlight w:val="none"/>
        </w:rPr>
        <w:t>　关于视同中小企业的其他主体的政府采购扶持政策，由财政部会同有关部门另行规定。</w:t>
      </w:r>
    </w:p>
    <w:p w14:paraId="4D05CCB0">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第二十四条</w:t>
      </w:r>
      <w:r>
        <w:rPr>
          <w:rFonts w:hint="eastAsia" w:ascii="宋体" w:hAnsi="宋体"/>
          <w:color w:val="auto"/>
          <w:sz w:val="21"/>
          <w:szCs w:val="21"/>
          <w:highlight w:val="none"/>
        </w:rPr>
        <w:t>　省级财政部门可以会同中小企业主管部门根据本办法的规定制定具体实施办法。</w:t>
      </w:r>
    </w:p>
    <w:p w14:paraId="333515FB">
      <w:pPr>
        <w:pStyle w:val="39"/>
        <w:shd w:val="clear" w:color="auto" w:fill="FFFFFF"/>
        <w:spacing w:line="360" w:lineRule="auto"/>
        <w:ind w:firstLine="480"/>
        <w:rPr>
          <w:rFonts w:ascii="宋体" w:hAnsi="宋体"/>
          <w:color w:val="auto"/>
          <w:sz w:val="21"/>
          <w:szCs w:val="21"/>
          <w:highlight w:val="none"/>
        </w:rPr>
      </w:pPr>
      <w:r>
        <w:rPr>
          <w:rFonts w:hint="eastAsia" w:ascii="宋体" w:hAnsi="宋体"/>
          <w:b/>
          <w:bCs/>
          <w:color w:val="auto"/>
          <w:sz w:val="21"/>
          <w:szCs w:val="21"/>
          <w:highlight w:val="none"/>
        </w:rPr>
        <w:t>第二十五条</w:t>
      </w:r>
      <w:r>
        <w:rPr>
          <w:rFonts w:hint="eastAsia" w:ascii="宋体" w:hAnsi="宋体"/>
          <w:color w:val="auto"/>
          <w:sz w:val="21"/>
          <w:szCs w:val="21"/>
          <w:highlight w:val="none"/>
        </w:rPr>
        <w:t>　本办法自2021年1月1日起施行。《财政部 工业和信息化部关于印发〈政府采购促进中小企业发展暂行办法〉的通知》（财库〔2011〕181号）同时废止。</w:t>
      </w:r>
    </w:p>
    <w:p w14:paraId="5A76E40A">
      <w:pPr>
        <w:pStyle w:val="39"/>
        <w:shd w:val="clear" w:color="auto" w:fill="FFFFFF"/>
        <w:spacing w:line="360" w:lineRule="auto"/>
        <w:ind w:firstLine="480"/>
        <w:rPr>
          <w:rFonts w:ascii="宋体" w:hAnsi="宋体"/>
          <w:color w:val="auto"/>
          <w:sz w:val="21"/>
          <w:szCs w:val="21"/>
          <w:highlight w:val="none"/>
        </w:rPr>
      </w:pPr>
    </w:p>
    <w:p w14:paraId="08279885">
      <w:pPr>
        <w:spacing w:line="360" w:lineRule="auto"/>
        <w:rPr>
          <w:rFonts w:ascii="宋体" w:hAnsi="宋体"/>
          <w:color w:val="auto"/>
          <w:szCs w:val="21"/>
          <w:highlight w:val="none"/>
        </w:rPr>
      </w:pPr>
      <w:r>
        <w:rPr>
          <w:rFonts w:ascii="宋体" w:hAnsi="宋体"/>
          <w:color w:val="auto"/>
          <w:szCs w:val="21"/>
          <w:highlight w:val="none"/>
        </w:rPr>
        <w:br w:type="page"/>
      </w:r>
    </w:p>
    <w:p w14:paraId="041DA40C">
      <w:pPr>
        <w:pStyle w:val="4"/>
        <w:spacing w:before="0" w:after="0"/>
        <w:jc w:val="center"/>
        <w:rPr>
          <w:rFonts w:hint="eastAsia"/>
          <w:color w:val="auto"/>
          <w:highlight w:val="none"/>
        </w:rPr>
      </w:pPr>
      <w:bookmarkStart w:id="250" w:name="_Toc73610163"/>
      <w:bookmarkStart w:id="251" w:name="_Toc73613645"/>
      <w:r>
        <w:rPr>
          <w:rFonts w:hint="eastAsia"/>
          <w:color w:val="auto"/>
          <w:highlight w:val="none"/>
        </w:rPr>
        <w:t>二、关于印发中小企业划型标准规定的通知</w:t>
      </w:r>
      <w:bookmarkEnd w:id="250"/>
      <w:bookmarkEnd w:id="251"/>
    </w:p>
    <w:p w14:paraId="0108A3CA">
      <w:pPr>
        <w:jc w:val="center"/>
        <w:rPr>
          <w:rFonts w:hint="eastAsia" w:ascii="宋体" w:hAnsi="宋体"/>
          <w:color w:val="auto"/>
          <w:szCs w:val="21"/>
          <w:highlight w:val="none"/>
        </w:rPr>
      </w:pPr>
      <w:r>
        <w:rPr>
          <w:rFonts w:hint="eastAsia" w:ascii="宋体" w:hAnsi="宋体"/>
          <w:color w:val="auto"/>
          <w:szCs w:val="21"/>
          <w:highlight w:val="none"/>
        </w:rPr>
        <w:t>工信部联企业〔2011〕300号</w:t>
      </w:r>
    </w:p>
    <w:p w14:paraId="5BE8DF63">
      <w:pPr>
        <w:rPr>
          <w:rFonts w:hint="eastAsia" w:ascii="宋体" w:hAnsi="宋体"/>
          <w:color w:val="auto"/>
          <w:szCs w:val="21"/>
          <w:highlight w:val="none"/>
        </w:rPr>
      </w:pPr>
      <w:r>
        <w:rPr>
          <w:rFonts w:hint="eastAsia" w:ascii="宋体" w:hAnsi="宋体"/>
          <w:color w:val="auto"/>
          <w:szCs w:val="21"/>
          <w:highlight w:val="none"/>
        </w:rPr>
        <w:t>各省、自治区、直辖市人民政府，国务院各部委、各直属机构及有关单位：</w:t>
      </w:r>
    </w:p>
    <w:p w14:paraId="72B1318B">
      <w:pPr>
        <w:rPr>
          <w:rFonts w:hint="eastAsia" w:ascii="宋体" w:hAnsi="宋体"/>
          <w:color w:val="auto"/>
          <w:szCs w:val="21"/>
          <w:highlight w:val="none"/>
        </w:rPr>
      </w:pPr>
      <w:r>
        <w:rPr>
          <w:rFonts w:hint="eastAsia" w:ascii="宋体" w:hAnsi="宋体"/>
          <w:color w:val="auto"/>
          <w:szCs w:val="21"/>
          <w:highlight w:val="none"/>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050AC1F">
      <w:pPr>
        <w:rPr>
          <w:rFonts w:hint="eastAsia" w:ascii="宋体" w:hAnsi="宋体"/>
          <w:color w:val="auto"/>
          <w:szCs w:val="21"/>
          <w:highlight w:val="none"/>
        </w:rPr>
      </w:pPr>
    </w:p>
    <w:p w14:paraId="72496BEE">
      <w:pPr>
        <w:jc w:val="right"/>
        <w:rPr>
          <w:rFonts w:hint="eastAsia" w:ascii="宋体" w:hAnsi="宋体"/>
          <w:color w:val="auto"/>
          <w:szCs w:val="21"/>
          <w:highlight w:val="none"/>
        </w:rPr>
      </w:pPr>
      <w:r>
        <w:rPr>
          <w:rFonts w:hint="eastAsia" w:ascii="宋体" w:hAnsi="宋体"/>
          <w:color w:val="auto"/>
          <w:szCs w:val="21"/>
          <w:highlight w:val="none"/>
        </w:rPr>
        <w:t>工业和信息化部　国家统计局   国家发展和改革委员会　财政部</w:t>
      </w:r>
    </w:p>
    <w:p w14:paraId="0F4966C7">
      <w:pPr>
        <w:jc w:val="right"/>
        <w:rPr>
          <w:rFonts w:hint="eastAsia" w:ascii="宋体" w:hAnsi="宋体"/>
          <w:color w:val="auto"/>
          <w:szCs w:val="21"/>
          <w:highlight w:val="none"/>
        </w:rPr>
      </w:pPr>
      <w:r>
        <w:rPr>
          <w:rFonts w:hint="eastAsia" w:ascii="宋体" w:hAnsi="宋体"/>
          <w:color w:val="auto"/>
          <w:szCs w:val="21"/>
          <w:highlight w:val="none"/>
        </w:rPr>
        <w:t>二○一一年六月十八日</w:t>
      </w:r>
    </w:p>
    <w:p w14:paraId="199C6943">
      <w:pPr>
        <w:rPr>
          <w:color w:val="auto"/>
          <w:highlight w:val="none"/>
        </w:rPr>
      </w:pPr>
    </w:p>
    <w:p w14:paraId="0F61F9A6">
      <w:pPr>
        <w:jc w:val="center"/>
        <w:rPr>
          <w:color w:val="auto"/>
          <w:highlight w:val="none"/>
        </w:rPr>
      </w:pPr>
      <w:r>
        <w:rPr>
          <w:rStyle w:val="46"/>
          <w:rFonts w:hint="eastAsia" w:ascii="宋体" w:hAnsi="宋体"/>
          <w:color w:val="auto"/>
          <w:szCs w:val="21"/>
          <w:highlight w:val="none"/>
        </w:rPr>
        <w:t>中小企业划型标准规定</w:t>
      </w:r>
    </w:p>
    <w:p w14:paraId="0B90A56D">
      <w:pPr>
        <w:rPr>
          <w:rFonts w:hint="eastAsia" w:ascii="宋体" w:hAnsi="宋体"/>
          <w:color w:val="auto"/>
          <w:szCs w:val="21"/>
          <w:highlight w:val="none"/>
        </w:rPr>
      </w:pPr>
      <w:r>
        <w:rPr>
          <w:rFonts w:hint="eastAsia" w:ascii="宋体" w:hAnsi="宋体"/>
          <w:color w:val="auto"/>
          <w:szCs w:val="21"/>
          <w:highlight w:val="none"/>
        </w:rPr>
        <w:t>　　</w:t>
      </w:r>
    </w:p>
    <w:p w14:paraId="7CEA659B">
      <w:pPr>
        <w:rPr>
          <w:rFonts w:hint="eastAsia" w:ascii="宋体" w:hAnsi="宋体"/>
          <w:color w:val="auto"/>
          <w:szCs w:val="21"/>
          <w:highlight w:val="none"/>
        </w:rPr>
      </w:pPr>
      <w:r>
        <w:rPr>
          <w:rFonts w:hint="eastAsia" w:ascii="宋体" w:hAnsi="宋体"/>
          <w:color w:val="auto"/>
          <w:szCs w:val="21"/>
          <w:highlight w:val="none"/>
        </w:rPr>
        <w:t>一、根据《中华人民共和国中小企业促进法》和《国务院关于进一步促进中小企业发展的若干意见》(国发〔2009〕36号)，制定本规定。</w:t>
      </w:r>
    </w:p>
    <w:p w14:paraId="06CF8570">
      <w:pPr>
        <w:rPr>
          <w:rFonts w:hint="eastAsia" w:ascii="宋体" w:hAnsi="宋体"/>
          <w:color w:val="auto"/>
          <w:szCs w:val="21"/>
          <w:highlight w:val="none"/>
        </w:rPr>
      </w:pPr>
      <w:r>
        <w:rPr>
          <w:rFonts w:hint="eastAsia" w:ascii="宋体" w:hAnsi="宋体"/>
          <w:color w:val="auto"/>
          <w:szCs w:val="21"/>
          <w:highlight w:val="none"/>
        </w:rPr>
        <w:t>　　二、中小企业划分为中型、小型、微型三种类型，具体标准根据企业从业人员、营业收入、资产总额等指标，结合行业特点制定。</w:t>
      </w:r>
    </w:p>
    <w:p w14:paraId="1E7ED142">
      <w:pPr>
        <w:rPr>
          <w:rFonts w:hint="eastAsia" w:ascii="宋体" w:hAnsi="宋体"/>
          <w:color w:val="auto"/>
          <w:szCs w:val="21"/>
          <w:highlight w:val="none"/>
        </w:rPr>
      </w:pPr>
      <w:r>
        <w:rPr>
          <w:rFonts w:hint="eastAsia" w:ascii="宋体" w:hAnsi="宋体"/>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7C39D77">
      <w:pPr>
        <w:rPr>
          <w:rFonts w:hint="eastAsia" w:ascii="宋体" w:hAnsi="宋体"/>
          <w:color w:val="auto"/>
          <w:szCs w:val="21"/>
          <w:highlight w:val="none"/>
        </w:rPr>
      </w:pPr>
      <w:r>
        <w:rPr>
          <w:rFonts w:hint="eastAsia" w:ascii="宋体" w:hAnsi="宋体"/>
          <w:color w:val="auto"/>
          <w:szCs w:val="21"/>
          <w:highlight w:val="none"/>
        </w:rPr>
        <w:t>　　四、各行业划型标准为：</w:t>
      </w:r>
    </w:p>
    <w:p w14:paraId="6B1DA2D0">
      <w:pPr>
        <w:rPr>
          <w:rFonts w:hint="eastAsia" w:ascii="宋体" w:hAnsi="宋体"/>
          <w:color w:val="auto"/>
          <w:szCs w:val="21"/>
          <w:highlight w:val="none"/>
        </w:rPr>
      </w:pPr>
      <w:r>
        <w:rPr>
          <w:rFonts w:hint="eastAsia" w:ascii="宋体" w:hAnsi="宋体"/>
          <w:color w:val="auto"/>
          <w:szCs w:val="21"/>
          <w:highlight w:val="none"/>
        </w:rPr>
        <w:t>　　（一）农、林、牧、渔业。营业收入20000万元以下的为中小微型企业。其中，营业收入500万元及以上的为中型企业，营业收入50万元及以上的为小型企业，营业收入50万元以下的为微型企业。</w:t>
      </w:r>
    </w:p>
    <w:p w14:paraId="49F7BC53">
      <w:pPr>
        <w:rPr>
          <w:rFonts w:hint="eastAsia" w:ascii="宋体" w:hAnsi="宋体"/>
          <w:color w:val="auto"/>
          <w:szCs w:val="21"/>
          <w:highlight w:val="none"/>
        </w:rPr>
      </w:pPr>
      <w:r>
        <w:rPr>
          <w:rFonts w:hint="eastAsia" w:ascii="宋体" w:hAnsi="宋体"/>
          <w:color w:val="auto"/>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D0F9FF7">
      <w:pPr>
        <w:rPr>
          <w:rFonts w:hint="eastAsia" w:ascii="宋体" w:hAnsi="宋体"/>
          <w:color w:val="auto"/>
          <w:szCs w:val="21"/>
          <w:highlight w:val="none"/>
        </w:rPr>
      </w:pPr>
      <w:r>
        <w:rPr>
          <w:rFonts w:hint="eastAsia" w:ascii="宋体" w:hAnsi="宋体"/>
          <w:color w:val="auto"/>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17E3559">
      <w:pPr>
        <w:rPr>
          <w:rFonts w:hint="eastAsia" w:ascii="宋体" w:hAnsi="宋体"/>
          <w:color w:val="auto"/>
          <w:szCs w:val="21"/>
          <w:highlight w:val="none"/>
        </w:rPr>
      </w:pPr>
      <w:r>
        <w:rPr>
          <w:rFonts w:hint="eastAsia" w:ascii="宋体" w:hAnsi="宋体"/>
          <w:color w:val="auto"/>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A104F90">
      <w:pPr>
        <w:rPr>
          <w:rFonts w:hint="eastAsia" w:ascii="宋体" w:hAnsi="宋体"/>
          <w:color w:val="auto"/>
          <w:szCs w:val="21"/>
          <w:highlight w:val="none"/>
        </w:rPr>
      </w:pPr>
      <w:r>
        <w:rPr>
          <w:rFonts w:hint="eastAsia" w:ascii="宋体" w:hAnsi="宋体"/>
          <w:color w:val="auto"/>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7841D2E">
      <w:pPr>
        <w:rPr>
          <w:rFonts w:hint="eastAsia" w:ascii="宋体" w:hAnsi="宋体"/>
          <w:color w:val="auto"/>
          <w:szCs w:val="21"/>
          <w:highlight w:val="none"/>
        </w:rPr>
      </w:pPr>
      <w:r>
        <w:rPr>
          <w:rFonts w:hint="eastAsia" w:ascii="宋体" w:hAnsi="宋体"/>
          <w:color w:val="auto"/>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D5515F6">
      <w:pPr>
        <w:rPr>
          <w:rFonts w:hint="eastAsia" w:ascii="宋体" w:hAnsi="宋体"/>
          <w:color w:val="auto"/>
          <w:szCs w:val="21"/>
          <w:highlight w:val="none"/>
        </w:rPr>
      </w:pPr>
      <w:r>
        <w:rPr>
          <w:rFonts w:hint="eastAsia" w:ascii="宋体" w:hAnsi="宋体"/>
          <w:color w:val="auto"/>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91513DF">
      <w:pPr>
        <w:rPr>
          <w:rFonts w:hint="eastAsia" w:ascii="宋体" w:hAnsi="宋体"/>
          <w:color w:val="auto"/>
          <w:szCs w:val="21"/>
          <w:highlight w:val="none"/>
        </w:rPr>
      </w:pPr>
      <w:r>
        <w:rPr>
          <w:rFonts w:hint="eastAsia" w:ascii="宋体" w:hAnsi="宋体"/>
          <w:color w:val="auto"/>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5DC02B1">
      <w:pPr>
        <w:rPr>
          <w:rFonts w:hint="eastAsia" w:ascii="宋体" w:hAnsi="宋体"/>
          <w:color w:val="auto"/>
          <w:szCs w:val="21"/>
          <w:highlight w:val="none"/>
        </w:rPr>
      </w:pPr>
      <w:r>
        <w:rPr>
          <w:rFonts w:hint="eastAsia" w:ascii="宋体" w:hAnsi="宋体"/>
          <w:color w:val="auto"/>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69D4365">
      <w:pPr>
        <w:rPr>
          <w:rFonts w:hint="eastAsia" w:ascii="宋体" w:hAnsi="宋体"/>
          <w:color w:val="auto"/>
          <w:szCs w:val="21"/>
          <w:highlight w:val="none"/>
        </w:rPr>
      </w:pPr>
      <w:r>
        <w:rPr>
          <w:rFonts w:hint="eastAsia" w:ascii="宋体" w:hAnsi="宋体"/>
          <w:color w:val="auto"/>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AAE7615">
      <w:pPr>
        <w:rPr>
          <w:rFonts w:hint="eastAsia" w:ascii="宋体" w:hAnsi="宋体"/>
          <w:color w:val="auto"/>
          <w:szCs w:val="21"/>
          <w:highlight w:val="none"/>
        </w:rPr>
      </w:pPr>
      <w:r>
        <w:rPr>
          <w:rFonts w:hint="eastAsia" w:ascii="宋体" w:hAnsi="宋体"/>
          <w:color w:val="auto"/>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568D2F6">
      <w:pPr>
        <w:rPr>
          <w:rFonts w:hint="eastAsia" w:ascii="宋体" w:hAnsi="宋体"/>
          <w:color w:val="auto"/>
          <w:szCs w:val="21"/>
          <w:highlight w:val="none"/>
        </w:rPr>
      </w:pPr>
      <w:r>
        <w:rPr>
          <w:rFonts w:hint="eastAsia" w:ascii="宋体" w:hAnsi="宋体"/>
          <w:color w:val="auto"/>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D964CD6">
      <w:pPr>
        <w:rPr>
          <w:rFonts w:hint="eastAsia" w:ascii="宋体" w:hAnsi="宋体"/>
          <w:color w:val="auto"/>
          <w:szCs w:val="21"/>
          <w:highlight w:val="none"/>
        </w:rPr>
      </w:pPr>
      <w:r>
        <w:rPr>
          <w:rFonts w:hint="eastAsia" w:ascii="宋体" w:hAnsi="宋体"/>
          <w:color w:val="auto"/>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B42750B">
      <w:pPr>
        <w:rPr>
          <w:rFonts w:hint="eastAsia" w:ascii="宋体" w:hAnsi="宋体"/>
          <w:color w:val="auto"/>
          <w:szCs w:val="21"/>
          <w:highlight w:val="none"/>
        </w:rPr>
      </w:pPr>
      <w:r>
        <w:rPr>
          <w:rFonts w:hint="eastAsia" w:ascii="宋体" w:hAnsi="宋体"/>
          <w:color w:val="auto"/>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483114E">
      <w:pPr>
        <w:rPr>
          <w:rFonts w:hint="eastAsia" w:ascii="宋体" w:hAnsi="宋体"/>
          <w:color w:val="auto"/>
          <w:szCs w:val="21"/>
          <w:highlight w:val="none"/>
        </w:rPr>
      </w:pPr>
      <w:r>
        <w:rPr>
          <w:rFonts w:hint="eastAsia" w:ascii="宋体" w:hAnsi="宋体"/>
          <w:color w:val="auto"/>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839EEE8">
      <w:pPr>
        <w:rPr>
          <w:rFonts w:hint="eastAsia" w:ascii="宋体" w:hAnsi="宋体"/>
          <w:color w:val="auto"/>
          <w:szCs w:val="21"/>
          <w:highlight w:val="none"/>
        </w:rPr>
      </w:pPr>
      <w:r>
        <w:rPr>
          <w:rFonts w:hint="eastAsia" w:ascii="宋体" w:hAnsi="宋体"/>
          <w:color w:val="auto"/>
          <w:szCs w:val="21"/>
          <w:highlight w:val="none"/>
        </w:rPr>
        <w:t>　　（十六）其他未列明行业。从业人员300人以下的为中小微型企业。其中，从业人员100人及以上的为中型企业；从业人员10人及以上的为小型企业；从业人员10人以下的为微型企业。</w:t>
      </w:r>
    </w:p>
    <w:p w14:paraId="2D4A1667">
      <w:pPr>
        <w:rPr>
          <w:rFonts w:hint="eastAsia" w:ascii="宋体" w:hAnsi="宋体"/>
          <w:color w:val="auto"/>
          <w:szCs w:val="21"/>
          <w:highlight w:val="none"/>
        </w:rPr>
      </w:pPr>
      <w:r>
        <w:rPr>
          <w:rFonts w:hint="eastAsia" w:ascii="宋体" w:hAnsi="宋体"/>
          <w:color w:val="auto"/>
          <w:szCs w:val="21"/>
          <w:highlight w:val="none"/>
        </w:rPr>
        <w:t>　　五、企业类型的划分以统计部门的统计数据为依据。</w:t>
      </w:r>
    </w:p>
    <w:p w14:paraId="3C9C73C1">
      <w:pPr>
        <w:rPr>
          <w:rFonts w:hint="eastAsia" w:ascii="宋体" w:hAnsi="宋体"/>
          <w:color w:val="auto"/>
          <w:szCs w:val="21"/>
          <w:highlight w:val="none"/>
        </w:rPr>
      </w:pPr>
      <w:r>
        <w:rPr>
          <w:rFonts w:hint="eastAsia" w:ascii="宋体" w:hAnsi="宋体"/>
          <w:color w:val="auto"/>
          <w:szCs w:val="21"/>
          <w:highlight w:val="none"/>
        </w:rPr>
        <w:t>　　六、本规定适用于在中华人民共和国境内依法设立的各类所有制和各种组织形式的企业。个体工商户和本规定以外的行业，参照本规定进行划型。</w:t>
      </w:r>
    </w:p>
    <w:p w14:paraId="01B9DBB2">
      <w:pPr>
        <w:rPr>
          <w:rFonts w:hint="eastAsia" w:ascii="宋体" w:hAnsi="宋体"/>
          <w:color w:val="auto"/>
          <w:szCs w:val="21"/>
          <w:highlight w:val="none"/>
        </w:rPr>
      </w:pPr>
      <w:r>
        <w:rPr>
          <w:rFonts w:hint="eastAsia" w:ascii="宋体" w:hAnsi="宋体"/>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1905632B">
      <w:pPr>
        <w:rPr>
          <w:rFonts w:hint="eastAsia" w:ascii="宋体" w:hAnsi="宋体"/>
          <w:color w:val="auto"/>
          <w:szCs w:val="21"/>
          <w:highlight w:val="none"/>
        </w:rPr>
      </w:pPr>
      <w:r>
        <w:rPr>
          <w:rFonts w:hint="eastAsia" w:ascii="宋体" w:hAnsi="宋体"/>
          <w:color w:val="auto"/>
          <w:szCs w:val="21"/>
          <w:highlight w:val="none"/>
        </w:rPr>
        <w:t>　　八、本规定由工业和信息化部、国家统计局会同有关部门根据《国民经济行业分类》修订情况和企业发展变化情况适时修订。</w:t>
      </w:r>
    </w:p>
    <w:p w14:paraId="092C0338">
      <w:pPr>
        <w:rPr>
          <w:rFonts w:hint="eastAsia" w:ascii="宋体" w:hAnsi="宋体"/>
          <w:color w:val="auto"/>
          <w:szCs w:val="21"/>
          <w:highlight w:val="none"/>
        </w:rPr>
      </w:pPr>
      <w:r>
        <w:rPr>
          <w:rFonts w:hint="eastAsia" w:ascii="宋体" w:hAnsi="宋体"/>
          <w:color w:val="auto"/>
          <w:szCs w:val="21"/>
          <w:highlight w:val="none"/>
        </w:rPr>
        <w:t>　　九、本规定由工业和信息化部、国家统计局会同有关部门负责解释。</w:t>
      </w:r>
    </w:p>
    <w:p w14:paraId="0E83997C">
      <w:pPr>
        <w:rPr>
          <w:color w:val="auto"/>
          <w:highlight w:val="none"/>
        </w:rPr>
      </w:pPr>
      <w:r>
        <w:rPr>
          <w:rFonts w:hint="eastAsia" w:ascii="宋体" w:hAnsi="宋体"/>
          <w:color w:val="auto"/>
          <w:szCs w:val="21"/>
          <w:highlight w:val="none"/>
        </w:rPr>
        <w:t>　　十、本规定自发布之日起执行，原国家经贸委、原国家计委、财政部和国家统计局2003年颁布的《中小企业标准暂行规定》同时废止。</w:t>
      </w:r>
    </w:p>
    <w:p w14:paraId="75E83B52">
      <w:pPr>
        <w:pStyle w:val="4"/>
        <w:spacing w:before="0" w:after="0"/>
        <w:jc w:val="center"/>
        <w:rPr>
          <w:rFonts w:hint="eastAsia" w:ascii="宋体" w:hAnsi="宋体"/>
          <w:bCs/>
          <w:color w:val="auto"/>
          <w:highlight w:val="none"/>
        </w:rPr>
      </w:pPr>
      <w:bookmarkStart w:id="252" w:name="_Toc73613646"/>
      <w:bookmarkStart w:id="253" w:name="_Toc73610164"/>
    </w:p>
    <w:p w14:paraId="6170B17E">
      <w:pPr>
        <w:pStyle w:val="4"/>
        <w:spacing w:before="0" w:after="0"/>
        <w:jc w:val="center"/>
        <w:rPr>
          <w:rFonts w:hint="eastAsia" w:ascii="宋体" w:hAnsi="宋体"/>
          <w:bCs/>
          <w:color w:val="auto"/>
          <w:highlight w:val="none"/>
        </w:rPr>
      </w:pPr>
    </w:p>
    <w:p w14:paraId="40178760">
      <w:pPr>
        <w:pStyle w:val="4"/>
        <w:spacing w:before="0" w:after="0"/>
        <w:jc w:val="center"/>
        <w:rPr>
          <w:rFonts w:ascii="宋体" w:hAnsi="宋体"/>
          <w:color w:val="auto"/>
          <w:highlight w:val="none"/>
        </w:rPr>
      </w:pPr>
      <w:r>
        <w:rPr>
          <w:rFonts w:hint="eastAsia" w:ascii="宋体" w:hAnsi="宋体"/>
          <w:bCs/>
          <w:color w:val="auto"/>
          <w:highlight w:val="none"/>
        </w:rPr>
        <w:t>三、</w:t>
      </w:r>
      <w:r>
        <w:rPr>
          <w:rFonts w:ascii="宋体" w:hAnsi="宋体"/>
          <w:bCs/>
          <w:color w:val="auto"/>
          <w:highlight w:val="none"/>
        </w:rPr>
        <w:t>国家统计局关于印发《统计上大中小微型企业划分办法 （2017）》的通知</w:t>
      </w:r>
      <w:bookmarkEnd w:id="252"/>
      <w:bookmarkEnd w:id="253"/>
      <w:r>
        <w:rPr>
          <w:rFonts w:ascii="宋体" w:hAnsi="宋体"/>
          <w:bCs/>
          <w:color w:val="auto"/>
          <w:highlight w:val="none"/>
        </w:rPr>
        <w:t> </w:t>
      </w:r>
    </w:p>
    <w:p w14:paraId="7D99B345">
      <w:pPr>
        <w:widowControl/>
        <w:spacing w:line="360" w:lineRule="auto"/>
        <w:jc w:val="left"/>
        <w:rPr>
          <w:rFonts w:ascii="宋体" w:hAnsi="宋体" w:cs="宋体"/>
          <w:color w:val="auto"/>
          <w:kern w:val="0"/>
          <w:szCs w:val="21"/>
          <w:highlight w:val="none"/>
        </w:rPr>
      </w:pPr>
    </w:p>
    <w:p w14:paraId="26D00210">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各省、自治区、直辖市统计局，新疆生产建设兵团统计局，国务院各有关部门，国家统计局各调查总队：</w:t>
      </w:r>
    </w:p>
    <w:p w14:paraId="60C254E4">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272A9D10">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附件：《统计上大中小微型企业划分办法（2017）》修订说明</w:t>
      </w:r>
    </w:p>
    <w:p w14:paraId="0098B476">
      <w:pPr>
        <w:widowControl/>
        <w:spacing w:line="360" w:lineRule="auto"/>
        <w:jc w:val="right"/>
        <w:rPr>
          <w:rFonts w:ascii="宋体" w:hAnsi="宋体" w:cs="宋体"/>
          <w:color w:val="auto"/>
          <w:kern w:val="0"/>
          <w:szCs w:val="21"/>
          <w:highlight w:val="none"/>
        </w:rPr>
      </w:pPr>
      <w:r>
        <w:rPr>
          <w:rFonts w:ascii="宋体" w:hAnsi="宋体" w:cs="宋体"/>
          <w:color w:val="auto"/>
          <w:kern w:val="0"/>
          <w:szCs w:val="21"/>
          <w:highlight w:val="none"/>
        </w:rPr>
        <w:t>国家统计局</w:t>
      </w:r>
    </w:p>
    <w:p w14:paraId="382389A3">
      <w:pPr>
        <w:widowControl/>
        <w:spacing w:line="360" w:lineRule="auto"/>
        <w:jc w:val="right"/>
        <w:rPr>
          <w:rFonts w:ascii="宋体" w:hAnsi="宋体" w:cs="宋体"/>
          <w:color w:val="auto"/>
          <w:kern w:val="0"/>
          <w:szCs w:val="21"/>
          <w:highlight w:val="none"/>
        </w:rPr>
      </w:pPr>
      <w:r>
        <w:rPr>
          <w:rFonts w:ascii="宋体" w:hAnsi="宋体" w:cs="宋体"/>
          <w:color w:val="auto"/>
          <w:kern w:val="0"/>
          <w:szCs w:val="21"/>
          <w:highlight w:val="none"/>
        </w:rPr>
        <w:t>2017年12月28日</w:t>
      </w:r>
    </w:p>
    <w:p w14:paraId="530AC8E8">
      <w:pPr>
        <w:widowControl/>
        <w:spacing w:line="360" w:lineRule="auto"/>
        <w:jc w:val="center"/>
        <w:rPr>
          <w:rFonts w:ascii="宋体" w:hAnsi="宋体" w:cs="宋体"/>
          <w:b/>
          <w:bCs/>
          <w:color w:val="auto"/>
          <w:kern w:val="0"/>
          <w:szCs w:val="21"/>
          <w:highlight w:val="none"/>
        </w:rPr>
      </w:pPr>
    </w:p>
    <w:p w14:paraId="1F9D50F7">
      <w:pPr>
        <w:widowControl/>
        <w:spacing w:line="360" w:lineRule="auto"/>
        <w:jc w:val="center"/>
        <w:rPr>
          <w:rFonts w:ascii="宋体" w:hAnsi="宋体" w:cs="宋体"/>
          <w:color w:val="auto"/>
          <w:kern w:val="0"/>
          <w:szCs w:val="21"/>
          <w:highlight w:val="none"/>
        </w:rPr>
      </w:pPr>
      <w:r>
        <w:rPr>
          <w:rFonts w:ascii="宋体" w:hAnsi="宋体" w:cs="宋体"/>
          <w:b/>
          <w:bCs/>
          <w:color w:val="auto"/>
          <w:kern w:val="0"/>
          <w:szCs w:val="21"/>
          <w:highlight w:val="none"/>
        </w:rPr>
        <w:br w:type="page"/>
      </w:r>
      <w:r>
        <w:rPr>
          <w:rFonts w:ascii="宋体" w:hAnsi="宋体" w:cs="宋体"/>
          <w:b/>
          <w:bCs/>
          <w:color w:val="auto"/>
          <w:kern w:val="0"/>
          <w:szCs w:val="21"/>
          <w:highlight w:val="none"/>
        </w:rPr>
        <w:t>统计上大中小微型企业划分办法（2017）</w:t>
      </w:r>
    </w:p>
    <w:p w14:paraId="56A7F0E1">
      <w:pPr>
        <w:widowControl/>
        <w:spacing w:line="360" w:lineRule="auto"/>
        <w:jc w:val="left"/>
        <w:rPr>
          <w:rFonts w:ascii="宋体" w:hAnsi="宋体" w:cs="宋体"/>
          <w:color w:val="auto"/>
          <w:kern w:val="0"/>
          <w:szCs w:val="21"/>
          <w:highlight w:val="none"/>
        </w:rPr>
      </w:pPr>
    </w:p>
    <w:p w14:paraId="6FA6D1CE">
      <w:pPr>
        <w:widowControl/>
        <w:spacing w:line="360" w:lineRule="auto"/>
        <w:ind w:left="1"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2D133A7D">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二、本办法适用对象为在中华人民共和国境内依法设立的各种组织形式的法人企业或单位。个体工商户参照本办法进行划分。</w:t>
      </w:r>
    </w:p>
    <w:p w14:paraId="76E7A870">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11B3655">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74AC68D1">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五、企业划分由政府综合统计部门根据统计年报每年确定一次，定报统计原则上不进行调整。</w:t>
      </w:r>
    </w:p>
    <w:p w14:paraId="40E47B6E">
      <w:pPr>
        <w:widowControl/>
        <w:spacing w:line="360" w:lineRule="auto"/>
        <w:ind w:left="1"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六、本办法自印发之日起执行，国家统计局2011年印发的《统计上大中小微型企业划分办法》（国统字〔2011〕75号）同时废止。</w:t>
      </w:r>
    </w:p>
    <w:p w14:paraId="199FE57E">
      <w:pPr>
        <w:widowControl/>
        <w:spacing w:line="360" w:lineRule="auto"/>
        <w:jc w:val="left"/>
        <w:rPr>
          <w:rFonts w:ascii="宋体" w:hAnsi="宋体" w:cs="宋体"/>
          <w:color w:val="auto"/>
          <w:kern w:val="0"/>
          <w:szCs w:val="21"/>
          <w:highlight w:val="none"/>
        </w:rPr>
      </w:pPr>
    </w:p>
    <w:p w14:paraId="18B35904">
      <w:pPr>
        <w:widowControl/>
        <w:spacing w:line="360" w:lineRule="auto"/>
        <w:jc w:val="left"/>
        <w:rPr>
          <w:rFonts w:ascii="宋体" w:hAnsi="宋体" w:cs="宋体"/>
          <w:b/>
          <w:bCs/>
          <w:color w:val="auto"/>
          <w:kern w:val="0"/>
          <w:szCs w:val="21"/>
          <w:highlight w:val="none"/>
        </w:rPr>
      </w:pPr>
      <w:r>
        <w:rPr>
          <w:rFonts w:ascii="宋体" w:hAnsi="宋体" w:cs="宋体"/>
          <w:b/>
          <w:bCs/>
          <w:color w:val="auto"/>
          <w:kern w:val="0"/>
          <w:szCs w:val="21"/>
          <w:highlight w:val="none"/>
        </w:rPr>
        <w:t>附件</w:t>
      </w:r>
    </w:p>
    <w:p w14:paraId="2B6CA8FD">
      <w:pPr>
        <w:widowControl/>
        <w:spacing w:line="360" w:lineRule="auto"/>
        <w:jc w:val="center"/>
        <w:rPr>
          <w:rFonts w:ascii="宋体" w:hAnsi="宋体" w:cs="宋体"/>
          <w:b/>
          <w:bCs/>
          <w:color w:val="auto"/>
          <w:kern w:val="0"/>
          <w:szCs w:val="21"/>
          <w:highlight w:val="none"/>
        </w:rPr>
      </w:pPr>
      <w:r>
        <w:rPr>
          <w:rFonts w:ascii="宋体" w:hAnsi="宋体" w:cs="宋体"/>
          <w:b/>
          <w:bCs/>
          <w:color w:val="auto"/>
          <w:kern w:val="0"/>
          <w:szCs w:val="21"/>
          <w:highlight w:val="none"/>
        </w:rPr>
        <w:t>《统计上大中小微型企业划分办法（2017）》修订说明</w:t>
      </w:r>
    </w:p>
    <w:p w14:paraId="48599D6B">
      <w:pPr>
        <w:widowControl/>
        <w:spacing w:line="360" w:lineRule="auto"/>
        <w:jc w:val="left"/>
        <w:rPr>
          <w:rFonts w:ascii="宋体" w:hAnsi="宋体" w:cs="宋体"/>
          <w:color w:val="auto"/>
          <w:kern w:val="0"/>
          <w:szCs w:val="21"/>
          <w:highlight w:val="none"/>
        </w:rPr>
      </w:pPr>
    </w:p>
    <w:p w14:paraId="5F86EEE0">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一、修订背景</w:t>
      </w:r>
    </w:p>
    <w:p w14:paraId="0A51F06D">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0C9B4977">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7E024FF5">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二、修订主要内容</w:t>
      </w:r>
    </w:p>
    <w:p w14:paraId="7F82DC42">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0E2F2C7B">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将交通运输业中包括的“装卸搬运和运输代理业”修改为“多式联运和运输代理业、装卸搬运”。</w:t>
      </w:r>
    </w:p>
    <w:p w14:paraId="2DFA6865">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仓储业所包括的行业中类，根据《国民经济行业分类》（GB/T 4754—2017）调整为“通用仓储，低温仓储，危险品仓储，谷物、棉花等农产品仓储，中药材仓储和其他仓储业”。</w:t>
      </w:r>
    </w:p>
    <w:p w14:paraId="1546A771">
      <w:pPr>
        <w:widowControl/>
        <w:spacing w:line="360" w:lineRule="auto"/>
        <w:jc w:val="left"/>
        <w:rPr>
          <w:rFonts w:ascii="宋体" w:hAnsi="宋体" w:cs="宋体"/>
          <w:color w:val="auto"/>
          <w:kern w:val="0"/>
          <w:szCs w:val="21"/>
          <w:highlight w:val="none"/>
        </w:rPr>
      </w:pPr>
    </w:p>
    <w:p w14:paraId="79454224">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附表</w:t>
      </w:r>
    </w:p>
    <w:p w14:paraId="2B9F73D4">
      <w:pPr>
        <w:widowControl/>
        <w:spacing w:line="360" w:lineRule="auto"/>
        <w:jc w:val="center"/>
        <w:rPr>
          <w:rFonts w:ascii="宋体" w:hAnsi="宋体" w:cs="宋体"/>
          <w:color w:val="auto"/>
          <w:kern w:val="0"/>
          <w:szCs w:val="21"/>
          <w:highlight w:val="none"/>
        </w:rPr>
      </w:pPr>
      <w:r>
        <w:rPr>
          <w:rFonts w:ascii="宋体" w:hAnsi="宋体" w:cs="宋体"/>
          <w:b/>
          <w:bCs/>
          <w:color w:val="auto"/>
          <w:kern w:val="0"/>
          <w:szCs w:val="21"/>
          <w:highlight w:val="none"/>
        </w:rPr>
        <w:t>统计上大中小微型企业划分标准</w:t>
      </w:r>
    </w:p>
    <w:tbl>
      <w:tblPr>
        <w:tblStyle w:val="43"/>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320C422E">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vAlign w:val="center"/>
          </w:tcPr>
          <w:p w14:paraId="6AF6C215">
            <w:pPr>
              <w:widowControl/>
              <w:spacing w:line="240" w:lineRule="exact"/>
              <w:jc w:val="center"/>
              <w:rPr>
                <w:rFonts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tcBorders>
              <w:top w:val="single" w:color="auto" w:sz="4" w:space="0"/>
              <w:left w:val="nil"/>
              <w:bottom w:val="single" w:color="auto" w:sz="4" w:space="0"/>
              <w:right w:val="single" w:color="auto" w:sz="4" w:space="0"/>
            </w:tcBorders>
            <w:vAlign w:val="center"/>
          </w:tcPr>
          <w:p w14:paraId="0B597114">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tcBorders>
              <w:top w:val="single" w:color="auto" w:sz="4" w:space="0"/>
              <w:left w:val="nil"/>
              <w:bottom w:val="single" w:color="auto" w:sz="4" w:space="0"/>
              <w:right w:val="single" w:color="auto" w:sz="4" w:space="0"/>
            </w:tcBorders>
            <w:vAlign w:val="center"/>
          </w:tcPr>
          <w:p w14:paraId="61E5EA8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p>
          <w:p w14:paraId="2AD24E34">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tcBorders>
              <w:top w:val="single" w:color="auto" w:sz="4" w:space="0"/>
              <w:left w:val="nil"/>
              <w:bottom w:val="single" w:color="auto" w:sz="4" w:space="0"/>
              <w:right w:val="single" w:color="auto" w:sz="4" w:space="0"/>
            </w:tcBorders>
            <w:vAlign w:val="center"/>
          </w:tcPr>
          <w:p w14:paraId="4863D79E">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tcBorders>
              <w:top w:val="single" w:color="auto" w:sz="4" w:space="0"/>
              <w:left w:val="nil"/>
              <w:bottom w:val="single" w:color="auto" w:sz="4" w:space="0"/>
              <w:right w:val="single" w:color="auto" w:sz="4" w:space="0"/>
            </w:tcBorders>
            <w:vAlign w:val="center"/>
          </w:tcPr>
          <w:p w14:paraId="499E0513">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tcBorders>
              <w:top w:val="single" w:color="auto" w:sz="4" w:space="0"/>
              <w:left w:val="nil"/>
              <w:bottom w:val="single" w:color="auto" w:sz="4" w:space="0"/>
              <w:right w:val="single" w:color="auto" w:sz="4" w:space="0"/>
            </w:tcBorders>
            <w:vAlign w:val="center"/>
          </w:tcPr>
          <w:p w14:paraId="66297470">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tcBorders>
              <w:top w:val="single" w:color="auto" w:sz="4" w:space="0"/>
              <w:left w:val="nil"/>
              <w:bottom w:val="single" w:color="auto" w:sz="4" w:space="0"/>
              <w:right w:val="nil"/>
            </w:tcBorders>
            <w:vAlign w:val="center"/>
          </w:tcPr>
          <w:p w14:paraId="6E32CE21">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1285E7EE">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vAlign w:val="center"/>
          </w:tcPr>
          <w:p w14:paraId="4E95948E">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tcBorders>
              <w:top w:val="nil"/>
              <w:left w:val="nil"/>
              <w:bottom w:val="single" w:color="auto" w:sz="4" w:space="0"/>
              <w:right w:val="single" w:color="auto" w:sz="4" w:space="0"/>
            </w:tcBorders>
            <w:vAlign w:val="center"/>
          </w:tcPr>
          <w:p w14:paraId="056E0DB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A654C5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D2A684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426031D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0559C5D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50≤Y＜500</w:t>
            </w:r>
          </w:p>
        </w:tc>
        <w:tc>
          <w:tcPr>
            <w:tcW w:w="992" w:type="dxa"/>
            <w:tcBorders>
              <w:top w:val="nil"/>
              <w:left w:val="nil"/>
              <w:bottom w:val="single" w:color="auto" w:sz="4" w:space="0"/>
              <w:right w:val="nil"/>
            </w:tcBorders>
            <w:vAlign w:val="center"/>
          </w:tcPr>
          <w:p w14:paraId="0061509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29249F6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62AEA141">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tcBorders>
              <w:top w:val="nil"/>
              <w:left w:val="nil"/>
              <w:bottom w:val="nil"/>
              <w:right w:val="single" w:color="auto" w:sz="4" w:space="0"/>
            </w:tcBorders>
            <w:vAlign w:val="center"/>
          </w:tcPr>
          <w:p w14:paraId="50C5CCD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807FB4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8C9B39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1D5765D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7826B76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right w:val="nil"/>
            </w:tcBorders>
            <w:vAlign w:val="center"/>
          </w:tcPr>
          <w:p w14:paraId="1351AE3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15A8D33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0BD5160">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64229AD4">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92F4E8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3BC700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6C1CF82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tcBorders>
              <w:top w:val="nil"/>
              <w:left w:val="nil"/>
              <w:bottom w:val="single" w:color="auto" w:sz="4" w:space="0"/>
              <w:right w:val="single" w:color="auto" w:sz="4" w:space="0"/>
            </w:tcBorders>
            <w:vAlign w:val="center"/>
          </w:tcPr>
          <w:p w14:paraId="4EC3A01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300≤Y＜2000</w:t>
            </w:r>
          </w:p>
        </w:tc>
        <w:tc>
          <w:tcPr>
            <w:tcW w:w="992" w:type="dxa"/>
            <w:tcBorders>
              <w:top w:val="nil"/>
              <w:left w:val="nil"/>
              <w:bottom w:val="single" w:color="auto" w:sz="4" w:space="0"/>
              <w:right w:val="nil"/>
            </w:tcBorders>
            <w:vAlign w:val="center"/>
          </w:tcPr>
          <w:p w14:paraId="3841241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457CB53D">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3828F0D0">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tcBorders>
              <w:top w:val="nil"/>
              <w:left w:val="nil"/>
              <w:bottom w:val="nil"/>
              <w:right w:val="single" w:color="auto" w:sz="4" w:space="0"/>
            </w:tcBorders>
            <w:vAlign w:val="center"/>
          </w:tcPr>
          <w:p w14:paraId="1CB7066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nil"/>
              <w:right w:val="single" w:color="auto" w:sz="4" w:space="0"/>
            </w:tcBorders>
            <w:vAlign w:val="center"/>
          </w:tcPr>
          <w:p w14:paraId="1CAA019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nil"/>
              <w:right w:val="single" w:color="auto" w:sz="4" w:space="0"/>
            </w:tcBorders>
            <w:vAlign w:val="center"/>
          </w:tcPr>
          <w:p w14:paraId="1419A46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tcBorders>
              <w:top w:val="nil"/>
              <w:left w:val="nil"/>
              <w:bottom w:val="nil"/>
              <w:right w:val="single" w:color="auto" w:sz="4" w:space="0"/>
            </w:tcBorders>
            <w:vAlign w:val="center"/>
          </w:tcPr>
          <w:p w14:paraId="477AD1F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tcBorders>
              <w:top w:val="nil"/>
              <w:left w:val="nil"/>
              <w:bottom w:val="nil"/>
              <w:right w:val="single" w:color="auto" w:sz="4" w:space="0"/>
            </w:tcBorders>
            <w:vAlign w:val="center"/>
          </w:tcPr>
          <w:p w14:paraId="649D9C2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300≤Y＜6000</w:t>
            </w:r>
          </w:p>
        </w:tc>
        <w:tc>
          <w:tcPr>
            <w:tcW w:w="992" w:type="dxa"/>
            <w:tcBorders>
              <w:top w:val="nil"/>
              <w:left w:val="nil"/>
              <w:bottom w:val="nil"/>
              <w:right w:val="nil"/>
            </w:tcBorders>
            <w:vAlign w:val="center"/>
          </w:tcPr>
          <w:p w14:paraId="009A83A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62D0BDD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1B90E4E">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561D179F">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6E313B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6C2363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tcBorders>
              <w:top w:val="nil"/>
              <w:left w:val="nil"/>
              <w:bottom w:val="single" w:color="auto" w:sz="4" w:space="0"/>
              <w:right w:val="single" w:color="auto" w:sz="4" w:space="0"/>
            </w:tcBorders>
            <w:vAlign w:val="center"/>
          </w:tcPr>
          <w:p w14:paraId="43932E4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tcBorders>
              <w:top w:val="nil"/>
              <w:left w:val="nil"/>
              <w:bottom w:val="single" w:color="auto" w:sz="4" w:space="0"/>
              <w:right w:val="single" w:color="auto" w:sz="4" w:space="0"/>
            </w:tcBorders>
            <w:vAlign w:val="center"/>
          </w:tcPr>
          <w:p w14:paraId="5B57BC6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300≤Z＜5000</w:t>
            </w:r>
          </w:p>
        </w:tc>
        <w:tc>
          <w:tcPr>
            <w:tcW w:w="992" w:type="dxa"/>
            <w:tcBorders>
              <w:top w:val="nil"/>
              <w:left w:val="nil"/>
              <w:bottom w:val="single" w:color="auto" w:sz="4" w:space="0"/>
              <w:right w:val="nil"/>
            </w:tcBorders>
            <w:vAlign w:val="center"/>
          </w:tcPr>
          <w:p w14:paraId="7E1AA98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594EC1B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00CD9BA8">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tcBorders>
              <w:top w:val="nil"/>
              <w:left w:val="nil"/>
              <w:bottom w:val="nil"/>
              <w:right w:val="single" w:color="auto" w:sz="4" w:space="0"/>
            </w:tcBorders>
            <w:vAlign w:val="center"/>
          </w:tcPr>
          <w:p w14:paraId="5420323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B33E94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CED991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nil"/>
              <w:left w:val="nil"/>
              <w:bottom w:val="nil"/>
              <w:right w:val="single" w:color="auto" w:sz="4" w:space="0"/>
            </w:tcBorders>
            <w:vAlign w:val="center"/>
          </w:tcPr>
          <w:p w14:paraId="712ACEF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tcBorders>
              <w:top w:val="nil"/>
              <w:left w:val="nil"/>
              <w:bottom w:val="nil"/>
              <w:right w:val="single" w:color="auto" w:sz="4" w:space="0"/>
            </w:tcBorders>
            <w:vAlign w:val="center"/>
          </w:tcPr>
          <w:p w14:paraId="1D81C92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5≤X＜20</w:t>
            </w:r>
          </w:p>
        </w:tc>
        <w:tc>
          <w:tcPr>
            <w:tcW w:w="992" w:type="dxa"/>
            <w:tcBorders>
              <w:top w:val="nil"/>
              <w:left w:val="nil"/>
              <w:bottom w:val="nil"/>
              <w:right w:val="nil"/>
            </w:tcBorders>
            <w:vAlign w:val="center"/>
          </w:tcPr>
          <w:p w14:paraId="48FC3A7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4FF0E86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BAEFD92">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9B587DF">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E031D9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4735CCA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08B46A7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tcBorders>
              <w:top w:val="nil"/>
              <w:left w:val="nil"/>
              <w:bottom w:val="single" w:color="auto" w:sz="4" w:space="0"/>
              <w:right w:val="single" w:color="auto" w:sz="4" w:space="0"/>
            </w:tcBorders>
            <w:vAlign w:val="center"/>
          </w:tcPr>
          <w:p w14:paraId="2C9F59B6">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tcBorders>
              <w:top w:val="nil"/>
              <w:left w:val="nil"/>
              <w:bottom w:val="single" w:color="auto" w:sz="4" w:space="0"/>
              <w:right w:val="nil"/>
            </w:tcBorders>
            <w:vAlign w:val="center"/>
          </w:tcPr>
          <w:p w14:paraId="72F05E6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672D1B4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796AC610">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tcBorders>
              <w:top w:val="nil"/>
              <w:left w:val="nil"/>
              <w:bottom w:val="nil"/>
              <w:right w:val="single" w:color="auto" w:sz="4" w:space="0"/>
            </w:tcBorders>
            <w:vAlign w:val="center"/>
          </w:tcPr>
          <w:p w14:paraId="0D4BC42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F9D45E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0ACA906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679FFB3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tcBorders>
              <w:top w:val="nil"/>
              <w:left w:val="nil"/>
              <w:bottom w:val="nil"/>
              <w:right w:val="single" w:color="auto" w:sz="4" w:space="0"/>
            </w:tcBorders>
            <w:vAlign w:val="center"/>
          </w:tcPr>
          <w:p w14:paraId="5398876D">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tcBorders>
              <w:top w:val="nil"/>
              <w:left w:val="nil"/>
              <w:bottom w:val="nil"/>
              <w:right w:val="nil"/>
            </w:tcBorders>
            <w:vAlign w:val="center"/>
          </w:tcPr>
          <w:p w14:paraId="219F2B2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0ED823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BBBA868">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B0C0838">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E22568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1F3BF3C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527CCD3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230D14F4">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100≤Y＜500 </w:t>
            </w:r>
          </w:p>
        </w:tc>
        <w:tc>
          <w:tcPr>
            <w:tcW w:w="992" w:type="dxa"/>
            <w:tcBorders>
              <w:top w:val="nil"/>
              <w:left w:val="nil"/>
              <w:bottom w:val="single" w:color="auto" w:sz="4" w:space="0"/>
              <w:right w:val="nil"/>
            </w:tcBorders>
            <w:vAlign w:val="center"/>
          </w:tcPr>
          <w:p w14:paraId="6FE6751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DA77FC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0FD38915">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tcBorders>
              <w:top w:val="nil"/>
              <w:left w:val="nil"/>
              <w:bottom w:val="nil"/>
              <w:right w:val="single" w:color="auto" w:sz="4" w:space="0"/>
            </w:tcBorders>
            <w:vAlign w:val="center"/>
          </w:tcPr>
          <w:p w14:paraId="3365F94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1F3B8FF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715B619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56DE7E6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46EFF1E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right w:val="nil"/>
            </w:tcBorders>
            <w:vAlign w:val="center"/>
          </w:tcPr>
          <w:p w14:paraId="05C1DE8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796BE3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E8BB572">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06355390">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7B67774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0642B9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51E4043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tcBorders>
              <w:top w:val="nil"/>
              <w:left w:val="nil"/>
              <w:bottom w:val="single" w:color="auto" w:sz="4" w:space="0"/>
              <w:right w:val="single" w:color="auto" w:sz="4" w:space="0"/>
            </w:tcBorders>
            <w:vAlign w:val="center"/>
          </w:tcPr>
          <w:p w14:paraId="3317A8F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200≤Y＜3000</w:t>
            </w:r>
          </w:p>
        </w:tc>
        <w:tc>
          <w:tcPr>
            <w:tcW w:w="992" w:type="dxa"/>
            <w:tcBorders>
              <w:top w:val="nil"/>
              <w:left w:val="nil"/>
              <w:bottom w:val="single" w:color="auto" w:sz="4" w:space="0"/>
              <w:right w:val="nil"/>
            </w:tcBorders>
            <w:vAlign w:val="center"/>
          </w:tcPr>
          <w:p w14:paraId="120558C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7D97843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4AC18B5D">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tcBorders>
              <w:top w:val="nil"/>
              <w:left w:val="nil"/>
              <w:bottom w:val="nil"/>
              <w:right w:val="single" w:color="auto" w:sz="4" w:space="0"/>
            </w:tcBorders>
            <w:vAlign w:val="center"/>
          </w:tcPr>
          <w:p w14:paraId="0E2B860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F252B8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6228F7E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nil"/>
              <w:left w:val="nil"/>
              <w:bottom w:val="nil"/>
              <w:right w:val="single" w:color="auto" w:sz="4" w:space="0"/>
            </w:tcBorders>
            <w:vAlign w:val="center"/>
          </w:tcPr>
          <w:p w14:paraId="62E6FE48">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tcBorders>
              <w:top w:val="nil"/>
              <w:left w:val="nil"/>
              <w:bottom w:val="nil"/>
              <w:right w:val="single" w:color="auto" w:sz="4" w:space="0"/>
            </w:tcBorders>
            <w:vAlign w:val="center"/>
          </w:tcPr>
          <w:p w14:paraId="673D2A1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20≤X＜100</w:t>
            </w:r>
          </w:p>
        </w:tc>
        <w:tc>
          <w:tcPr>
            <w:tcW w:w="992" w:type="dxa"/>
            <w:tcBorders>
              <w:top w:val="nil"/>
              <w:left w:val="nil"/>
              <w:bottom w:val="nil"/>
              <w:right w:val="nil"/>
            </w:tcBorders>
            <w:vAlign w:val="center"/>
          </w:tcPr>
          <w:p w14:paraId="42EB915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18E2343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D6FFAA2">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4A6CD7DD">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F6974A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128A83F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7738153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tcBorders>
              <w:top w:val="nil"/>
              <w:left w:val="nil"/>
              <w:bottom w:val="single" w:color="auto" w:sz="4" w:space="0"/>
              <w:right w:val="single" w:color="auto" w:sz="4" w:space="0"/>
            </w:tcBorders>
            <w:vAlign w:val="center"/>
          </w:tcPr>
          <w:p w14:paraId="1409EC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single" w:color="auto" w:sz="4" w:space="0"/>
              <w:right w:val="nil"/>
            </w:tcBorders>
            <w:vAlign w:val="center"/>
          </w:tcPr>
          <w:p w14:paraId="5102BBE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9373595">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796966D3">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tcBorders>
              <w:top w:val="nil"/>
              <w:left w:val="nil"/>
              <w:bottom w:val="nil"/>
              <w:right w:val="single" w:color="auto" w:sz="4" w:space="0"/>
            </w:tcBorders>
            <w:vAlign w:val="center"/>
          </w:tcPr>
          <w:p w14:paraId="6C954F6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1BBA64C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2BEE1FD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27E81C9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6734F22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right w:val="nil"/>
            </w:tcBorders>
            <w:vAlign w:val="center"/>
          </w:tcPr>
          <w:p w14:paraId="402C6ED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561CC7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219C913">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53C96CB4">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192A6C9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277F6B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5FA1381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tcBorders>
              <w:top w:val="nil"/>
              <w:left w:val="nil"/>
              <w:bottom w:val="single" w:color="auto" w:sz="4" w:space="0"/>
              <w:right w:val="single" w:color="auto" w:sz="4" w:space="0"/>
            </w:tcBorders>
            <w:vAlign w:val="center"/>
          </w:tcPr>
          <w:p w14:paraId="03A83C4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right w:val="nil"/>
            </w:tcBorders>
            <w:vAlign w:val="center"/>
          </w:tcPr>
          <w:p w14:paraId="3014E68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E73B00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23553520">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tcBorders>
              <w:top w:val="nil"/>
              <w:left w:val="nil"/>
              <w:bottom w:val="nil"/>
              <w:right w:val="single" w:color="auto" w:sz="4" w:space="0"/>
            </w:tcBorders>
            <w:vAlign w:val="center"/>
          </w:tcPr>
          <w:p w14:paraId="4D465F2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4B9207B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3B0D6BA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07120C4D">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1181E91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right w:val="nil"/>
            </w:tcBorders>
            <w:vAlign w:val="center"/>
          </w:tcPr>
          <w:p w14:paraId="0886AE2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CBC3DF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836A0EF">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790CC796">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AB3DE8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82ED70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163EB00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69E2E9B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right w:val="nil"/>
            </w:tcBorders>
            <w:vAlign w:val="center"/>
          </w:tcPr>
          <w:p w14:paraId="4DAD544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693983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4A24B9D5">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tcBorders>
              <w:top w:val="nil"/>
              <w:left w:val="nil"/>
              <w:bottom w:val="nil"/>
              <w:right w:val="single" w:color="auto" w:sz="4" w:space="0"/>
            </w:tcBorders>
            <w:vAlign w:val="center"/>
          </w:tcPr>
          <w:p w14:paraId="2750AAD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134171C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A49E4C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2E6B8373">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36593FE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right w:val="nil"/>
            </w:tcBorders>
            <w:vAlign w:val="center"/>
          </w:tcPr>
          <w:p w14:paraId="7E78F4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25329B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C0BBE30">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35F131F8">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3CB11BC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680C64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271AC0A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0605450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right w:val="nil"/>
            </w:tcBorders>
            <w:vAlign w:val="center"/>
          </w:tcPr>
          <w:p w14:paraId="09472D9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C641AED">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59043BA9">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tcBorders>
              <w:top w:val="nil"/>
              <w:left w:val="nil"/>
              <w:bottom w:val="nil"/>
              <w:right w:val="single" w:color="auto" w:sz="4" w:space="0"/>
            </w:tcBorders>
            <w:vAlign w:val="center"/>
          </w:tcPr>
          <w:p w14:paraId="199EC8D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49C5DC6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2C17272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tcBorders>
              <w:top w:val="nil"/>
              <w:left w:val="nil"/>
              <w:bottom w:val="nil"/>
              <w:right w:val="single" w:color="auto" w:sz="4" w:space="0"/>
            </w:tcBorders>
            <w:vAlign w:val="center"/>
          </w:tcPr>
          <w:p w14:paraId="4A3F9E5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tcBorders>
              <w:top w:val="nil"/>
              <w:left w:val="nil"/>
              <w:bottom w:val="nil"/>
              <w:right w:val="single" w:color="auto" w:sz="4" w:space="0"/>
            </w:tcBorders>
            <w:vAlign w:val="center"/>
          </w:tcPr>
          <w:p w14:paraId="3C2B5B1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right w:val="nil"/>
            </w:tcBorders>
            <w:vAlign w:val="center"/>
          </w:tcPr>
          <w:p w14:paraId="2FD524C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386BE8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DE96671">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63979BAB">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243CF3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6971DA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tcBorders>
              <w:top w:val="nil"/>
              <w:left w:val="nil"/>
              <w:bottom w:val="single" w:color="auto" w:sz="4" w:space="0"/>
              <w:right w:val="single" w:color="auto" w:sz="4" w:space="0"/>
            </w:tcBorders>
            <w:vAlign w:val="center"/>
          </w:tcPr>
          <w:p w14:paraId="77D9D8A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1000≤Y＜100000</w:t>
            </w:r>
          </w:p>
        </w:tc>
        <w:tc>
          <w:tcPr>
            <w:tcW w:w="1426" w:type="dxa"/>
            <w:tcBorders>
              <w:top w:val="nil"/>
              <w:left w:val="nil"/>
              <w:bottom w:val="single" w:color="auto" w:sz="4" w:space="0"/>
              <w:right w:val="single" w:color="auto" w:sz="4" w:space="0"/>
            </w:tcBorders>
            <w:vAlign w:val="center"/>
          </w:tcPr>
          <w:p w14:paraId="031F652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single" w:color="auto" w:sz="4" w:space="0"/>
              <w:right w:val="nil"/>
            </w:tcBorders>
            <w:vAlign w:val="center"/>
          </w:tcPr>
          <w:p w14:paraId="1F849A0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9DD411A">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vAlign w:val="center"/>
          </w:tcPr>
          <w:p w14:paraId="3DE320C8">
            <w:pPr>
              <w:widowControl/>
              <w:spacing w:line="240" w:lineRule="exact"/>
              <w:jc w:val="left"/>
              <w:rPr>
                <w:rFonts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tcBorders>
              <w:top w:val="nil"/>
              <w:left w:val="nil"/>
              <w:bottom w:val="nil"/>
              <w:right w:val="single" w:color="auto" w:sz="4" w:space="0"/>
            </w:tcBorders>
            <w:vAlign w:val="center"/>
          </w:tcPr>
          <w:p w14:paraId="66DBA35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DDB978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5254580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46F87057">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521C704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right w:val="nil"/>
            </w:tcBorders>
            <w:vAlign w:val="center"/>
          </w:tcPr>
          <w:p w14:paraId="408F81C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328202C">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0126EF21">
            <w:pPr>
              <w:widowControl/>
              <w:jc w:val="left"/>
              <w:rPr>
                <w:rFonts w:ascii="宋体" w:hAnsi="宋体" w:cs="宋体"/>
                <w:color w:val="auto"/>
                <w:spacing w:val="-12"/>
                <w:kern w:val="0"/>
                <w:sz w:val="18"/>
                <w:szCs w:val="18"/>
                <w:highlight w:val="none"/>
              </w:rPr>
            </w:pPr>
          </w:p>
        </w:tc>
        <w:tc>
          <w:tcPr>
            <w:tcW w:w="1369" w:type="dxa"/>
            <w:tcBorders>
              <w:top w:val="nil"/>
              <w:left w:val="nil"/>
              <w:bottom w:val="single" w:color="auto" w:sz="4" w:space="0"/>
              <w:right w:val="single" w:color="auto" w:sz="4" w:space="0"/>
            </w:tcBorders>
            <w:vAlign w:val="center"/>
          </w:tcPr>
          <w:p w14:paraId="46B2DA1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EC618B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1E33E34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1D14DCF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tcBorders>
              <w:top w:val="nil"/>
              <w:left w:val="nil"/>
              <w:bottom w:val="single" w:color="auto" w:sz="4" w:space="0"/>
              <w:right w:val="single" w:color="auto" w:sz="4" w:space="0"/>
            </w:tcBorders>
            <w:vAlign w:val="center"/>
          </w:tcPr>
          <w:p w14:paraId="18C71CD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50≤Y＜1000</w:t>
            </w:r>
          </w:p>
        </w:tc>
        <w:tc>
          <w:tcPr>
            <w:tcW w:w="992" w:type="dxa"/>
            <w:tcBorders>
              <w:top w:val="nil"/>
              <w:left w:val="nil"/>
              <w:bottom w:val="single" w:color="auto" w:sz="4" w:space="0"/>
              <w:right w:val="nil"/>
            </w:tcBorders>
            <w:vAlign w:val="center"/>
          </w:tcPr>
          <w:p w14:paraId="2ED4B7F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41BB766D">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619CCD5B">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tcBorders>
              <w:top w:val="nil"/>
              <w:left w:val="nil"/>
              <w:bottom w:val="nil"/>
              <w:right w:val="single" w:color="auto" w:sz="4" w:space="0"/>
            </w:tcBorders>
            <w:vAlign w:val="center"/>
          </w:tcPr>
          <w:p w14:paraId="6F63A15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nil"/>
              <w:right w:val="single" w:color="auto" w:sz="4" w:space="0"/>
            </w:tcBorders>
            <w:vAlign w:val="center"/>
          </w:tcPr>
          <w:p w14:paraId="23534F7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nil"/>
              <w:right w:val="single" w:color="auto" w:sz="4" w:space="0"/>
            </w:tcBorders>
            <w:vAlign w:val="center"/>
          </w:tcPr>
          <w:p w14:paraId="626E3DF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tcBorders>
              <w:top w:val="nil"/>
              <w:left w:val="nil"/>
              <w:bottom w:val="nil"/>
              <w:right w:val="single" w:color="auto" w:sz="4" w:space="0"/>
            </w:tcBorders>
            <w:vAlign w:val="center"/>
          </w:tcPr>
          <w:p w14:paraId="5AE1F7C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1000≤Y＜200000</w:t>
            </w:r>
          </w:p>
        </w:tc>
        <w:tc>
          <w:tcPr>
            <w:tcW w:w="1426" w:type="dxa"/>
            <w:tcBorders>
              <w:top w:val="nil"/>
              <w:left w:val="nil"/>
              <w:bottom w:val="nil"/>
              <w:right w:val="single" w:color="auto" w:sz="4" w:space="0"/>
            </w:tcBorders>
            <w:vAlign w:val="center"/>
          </w:tcPr>
          <w:p w14:paraId="464418B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nil"/>
              <w:right w:val="nil"/>
            </w:tcBorders>
            <w:vAlign w:val="center"/>
          </w:tcPr>
          <w:p w14:paraId="05531D9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17084C2">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07C5C39">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5407602A">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4AFDB07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B39921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tcBorders>
              <w:top w:val="nil"/>
              <w:left w:val="nil"/>
              <w:bottom w:val="single" w:color="auto" w:sz="4" w:space="0"/>
              <w:right w:val="single" w:color="auto" w:sz="4" w:space="0"/>
            </w:tcBorders>
            <w:vAlign w:val="center"/>
          </w:tcPr>
          <w:p w14:paraId="71F74F7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tcBorders>
              <w:top w:val="nil"/>
              <w:left w:val="nil"/>
              <w:bottom w:val="single" w:color="auto" w:sz="4" w:space="0"/>
              <w:right w:val="single" w:color="auto" w:sz="4" w:space="0"/>
            </w:tcBorders>
            <w:vAlign w:val="center"/>
          </w:tcPr>
          <w:p w14:paraId="09CD300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2000≤Z＜5000   </w:t>
            </w:r>
          </w:p>
        </w:tc>
        <w:tc>
          <w:tcPr>
            <w:tcW w:w="992" w:type="dxa"/>
            <w:tcBorders>
              <w:top w:val="nil"/>
              <w:left w:val="nil"/>
              <w:bottom w:val="single" w:color="auto" w:sz="4" w:space="0"/>
              <w:right w:val="nil"/>
            </w:tcBorders>
            <w:vAlign w:val="center"/>
          </w:tcPr>
          <w:p w14:paraId="1E543FB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5A9240B5">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478AE9C7">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tcBorders>
              <w:top w:val="nil"/>
              <w:left w:val="nil"/>
              <w:bottom w:val="nil"/>
              <w:right w:val="single" w:color="auto" w:sz="4" w:space="0"/>
            </w:tcBorders>
            <w:vAlign w:val="center"/>
          </w:tcPr>
          <w:p w14:paraId="4B96ED9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2B3B7F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7306263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1824F45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54636F2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992" w:type="dxa"/>
            <w:tcBorders>
              <w:top w:val="nil"/>
              <w:left w:val="nil"/>
              <w:bottom w:val="nil"/>
              <w:right w:val="nil"/>
            </w:tcBorders>
            <w:vAlign w:val="center"/>
          </w:tcPr>
          <w:p w14:paraId="48EAEF8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85D4AEB">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24FF89E8">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0423221">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C1F9AA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03C3DED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tcBorders>
              <w:top w:val="nil"/>
              <w:left w:val="nil"/>
              <w:bottom w:val="single" w:color="auto" w:sz="4" w:space="0"/>
              <w:right w:val="single" w:color="auto" w:sz="4" w:space="0"/>
            </w:tcBorders>
            <w:vAlign w:val="center"/>
          </w:tcPr>
          <w:p w14:paraId="27EEF3B8">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1000≤Y＜5000 </w:t>
            </w:r>
          </w:p>
        </w:tc>
        <w:tc>
          <w:tcPr>
            <w:tcW w:w="1426" w:type="dxa"/>
            <w:tcBorders>
              <w:top w:val="nil"/>
              <w:left w:val="nil"/>
              <w:bottom w:val="single" w:color="auto" w:sz="4" w:space="0"/>
              <w:right w:val="single" w:color="auto" w:sz="4" w:space="0"/>
            </w:tcBorders>
            <w:vAlign w:val="center"/>
          </w:tcPr>
          <w:p w14:paraId="63BA1CB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500≤Y＜1000</w:t>
            </w:r>
          </w:p>
        </w:tc>
        <w:tc>
          <w:tcPr>
            <w:tcW w:w="992" w:type="dxa"/>
            <w:tcBorders>
              <w:top w:val="nil"/>
              <w:left w:val="nil"/>
              <w:bottom w:val="single" w:color="auto" w:sz="4" w:space="0"/>
              <w:right w:val="nil"/>
            </w:tcBorders>
            <w:vAlign w:val="center"/>
          </w:tcPr>
          <w:p w14:paraId="6570103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2D574A48">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4BAED46D">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tcBorders>
              <w:top w:val="nil"/>
              <w:left w:val="nil"/>
              <w:bottom w:val="nil"/>
              <w:right w:val="single" w:color="auto" w:sz="4" w:space="0"/>
            </w:tcBorders>
            <w:vAlign w:val="center"/>
          </w:tcPr>
          <w:p w14:paraId="43C7FD0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265BB75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6E252B9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1C93A310">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77B1C95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right w:val="nil"/>
            </w:tcBorders>
            <w:vAlign w:val="center"/>
          </w:tcPr>
          <w:p w14:paraId="44E8E03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EBDA373">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7628D8F">
            <w:pPr>
              <w:widowControl/>
              <w:jc w:val="left"/>
              <w:rPr>
                <w:rFonts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E4AC00B">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33A1B84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7ACF0C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tcBorders>
              <w:top w:val="nil"/>
              <w:left w:val="nil"/>
              <w:bottom w:val="single" w:color="auto" w:sz="4" w:space="0"/>
              <w:right w:val="single" w:color="auto" w:sz="4" w:space="0"/>
            </w:tcBorders>
            <w:vAlign w:val="center"/>
          </w:tcPr>
          <w:p w14:paraId="4879EB4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8000≤Z＜120000</w:t>
            </w:r>
          </w:p>
        </w:tc>
        <w:tc>
          <w:tcPr>
            <w:tcW w:w="1426" w:type="dxa"/>
            <w:tcBorders>
              <w:top w:val="nil"/>
              <w:left w:val="nil"/>
              <w:bottom w:val="single" w:color="auto" w:sz="4" w:space="0"/>
              <w:right w:val="single" w:color="auto" w:sz="4" w:space="0"/>
            </w:tcBorders>
            <w:vAlign w:val="center"/>
          </w:tcPr>
          <w:p w14:paraId="6B5B0B4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100≤Z＜8000</w:t>
            </w:r>
          </w:p>
        </w:tc>
        <w:tc>
          <w:tcPr>
            <w:tcW w:w="992" w:type="dxa"/>
            <w:tcBorders>
              <w:top w:val="nil"/>
              <w:left w:val="nil"/>
              <w:bottom w:val="single" w:color="auto" w:sz="4" w:space="0"/>
              <w:right w:val="nil"/>
            </w:tcBorders>
            <w:vAlign w:val="center"/>
          </w:tcPr>
          <w:p w14:paraId="4479B5C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0EA7260A">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vAlign w:val="center"/>
          </w:tcPr>
          <w:p w14:paraId="14779A87">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tcBorders>
              <w:top w:val="nil"/>
              <w:left w:val="nil"/>
              <w:bottom w:val="single" w:color="auto" w:sz="4" w:space="0"/>
              <w:right w:val="single" w:color="auto" w:sz="4" w:space="0"/>
            </w:tcBorders>
            <w:vAlign w:val="center"/>
          </w:tcPr>
          <w:p w14:paraId="6234F08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single" w:color="auto" w:sz="4" w:space="0"/>
              <w:right w:val="single" w:color="auto" w:sz="4" w:space="0"/>
            </w:tcBorders>
            <w:vAlign w:val="center"/>
          </w:tcPr>
          <w:p w14:paraId="412F293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single" w:color="auto" w:sz="4" w:space="0"/>
              <w:right w:val="single" w:color="auto" w:sz="4" w:space="0"/>
            </w:tcBorders>
            <w:vAlign w:val="center"/>
          </w:tcPr>
          <w:p w14:paraId="6E403D0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single" w:color="auto" w:sz="4" w:space="0"/>
              <w:right w:val="single" w:color="auto" w:sz="4" w:space="0"/>
            </w:tcBorders>
            <w:vAlign w:val="center"/>
          </w:tcPr>
          <w:p w14:paraId="0A05DFD6">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single" w:color="auto" w:sz="4" w:space="0"/>
              <w:right w:val="single" w:color="auto" w:sz="4" w:space="0"/>
            </w:tcBorders>
            <w:vAlign w:val="center"/>
          </w:tcPr>
          <w:p w14:paraId="11131CC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single" w:color="auto" w:sz="4" w:space="0"/>
              <w:right w:val="nil"/>
            </w:tcBorders>
            <w:vAlign w:val="center"/>
          </w:tcPr>
          <w:p w14:paraId="4AE33A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33C0D06C">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说明：</w:t>
      </w:r>
    </w:p>
    <w:p w14:paraId="0D3B209E">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1.大型、中型和小型企业须同时满足所列指标的下限，否则下划一档；微型企业只须满足所列指标中的一项即可。</w:t>
      </w:r>
    </w:p>
    <w:p w14:paraId="5E2491D8">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09433D2">
      <w:pPr>
        <w:widowControl/>
        <w:spacing w:line="360" w:lineRule="auto"/>
        <w:ind w:firstLine="371" w:firstLineChars="177"/>
        <w:jc w:val="left"/>
        <w:rPr>
          <w:rFonts w:ascii="宋体" w:hAnsi="宋体" w:cs="宋体"/>
          <w:color w:val="auto"/>
          <w:kern w:val="0"/>
          <w:szCs w:val="21"/>
          <w:highlight w:val="none"/>
        </w:rPr>
      </w:pPr>
      <w:r>
        <w:rPr>
          <w:rFonts w:ascii="宋体" w:hAnsi="宋体" w:cs="宋体"/>
          <w:color w:val="auto"/>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6AB01A5">
      <w:pPr>
        <w:spacing w:line="360" w:lineRule="auto"/>
        <w:rPr>
          <w:rFonts w:ascii="宋体" w:hAnsi="宋体"/>
          <w:color w:val="auto"/>
          <w:szCs w:val="21"/>
          <w:highlight w:val="none"/>
        </w:rPr>
      </w:pPr>
    </w:p>
    <w:p w14:paraId="7A42CC18">
      <w:pPr>
        <w:pStyle w:val="4"/>
        <w:spacing w:before="0" w:after="0"/>
        <w:jc w:val="center"/>
        <w:rPr>
          <w:color w:val="auto"/>
          <w:highlight w:val="none"/>
        </w:rPr>
      </w:pPr>
      <w:bookmarkStart w:id="254" w:name="_Toc73613647"/>
      <w:bookmarkStart w:id="255" w:name="_Toc73610165"/>
      <w:r>
        <w:rPr>
          <w:rFonts w:hint="eastAsia"/>
          <w:color w:val="auto"/>
          <w:highlight w:val="none"/>
        </w:rPr>
        <w:br w:type="page"/>
      </w:r>
      <w:r>
        <w:rPr>
          <w:rFonts w:hint="eastAsia"/>
          <w:color w:val="auto"/>
          <w:highlight w:val="none"/>
        </w:rPr>
        <w:t>四、</w:t>
      </w:r>
      <w:r>
        <w:rPr>
          <w:color w:val="auto"/>
          <w:highlight w:val="none"/>
        </w:rPr>
        <w:t>财政部 民政部 中国残疾人联合会关于促进残疾人就业 政府采购政策的通知</w:t>
      </w:r>
      <w:bookmarkEnd w:id="254"/>
      <w:bookmarkEnd w:id="255"/>
      <w:r>
        <w:rPr>
          <w:color w:val="auto"/>
          <w:highlight w:val="none"/>
        </w:rPr>
        <w:t xml:space="preserve"> </w:t>
      </w:r>
    </w:p>
    <w:p w14:paraId="2ECCB583">
      <w:pPr>
        <w:widowControl/>
        <w:spacing w:line="360" w:lineRule="auto"/>
        <w:jc w:val="center"/>
        <w:rPr>
          <w:rFonts w:ascii="宋体" w:hAnsi="宋体" w:cs="宋体"/>
          <w:b/>
          <w:bCs/>
          <w:color w:val="auto"/>
          <w:kern w:val="0"/>
          <w:szCs w:val="21"/>
          <w:highlight w:val="none"/>
        </w:rPr>
      </w:pPr>
      <w:r>
        <w:rPr>
          <w:rFonts w:ascii="宋体" w:hAnsi="宋体" w:cs="宋体"/>
          <w:b/>
          <w:bCs/>
          <w:color w:val="auto"/>
          <w:kern w:val="0"/>
          <w:szCs w:val="21"/>
          <w:highlight w:val="none"/>
        </w:rPr>
        <w:t>财库〔2017〕141号</w:t>
      </w:r>
    </w:p>
    <w:p w14:paraId="2B05DF68">
      <w:pPr>
        <w:widowControl/>
        <w:spacing w:line="360" w:lineRule="auto"/>
        <w:jc w:val="left"/>
        <w:rPr>
          <w:rFonts w:hint="eastAsia" w:ascii="宋体" w:hAnsi="宋体" w:cs="宋体"/>
          <w:color w:val="auto"/>
          <w:kern w:val="0"/>
          <w:szCs w:val="21"/>
          <w:highlight w:val="none"/>
        </w:rPr>
      </w:pPr>
    </w:p>
    <w:p w14:paraId="5053CAA0">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68792027">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为了发挥政府采购促进残疾人就业的作用，进一步保障残疾人权益，依照《政府采购法》、《残疾人保障法》等法律法规及相关规定，现就促进残疾人就业政府采购政策通知如下：</w:t>
      </w:r>
    </w:p>
    <w:p w14:paraId="274FB7B4">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一、享受政府采购支持政策的残疾人福利性单位应当同时满足以下条件：</w:t>
      </w:r>
    </w:p>
    <w:p w14:paraId="2C999375">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（一）安置的残疾人占本单位在职职工人数的比例不低于25%（含25%），并且安置的残疾人人数不少于10人（含10人）；</w:t>
      </w:r>
    </w:p>
    <w:p w14:paraId="0D41DE58">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（二）依法与安置的每位残疾人签订了一年以上（含一年）的劳动合同或服务协议；</w:t>
      </w:r>
    </w:p>
    <w:p w14:paraId="7191791F">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（三）为安置的每位残疾人按月足额缴纳了基本养老保险、基本医疗保险、失业保险、工伤保险和生育保险等社会保险费；</w:t>
      </w:r>
    </w:p>
    <w:p w14:paraId="2DB57EA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（四）通过银行等金融机构向安置的每位残疾人，按月支付了不低于单位所在区县适用的经省级人民政府批准的月最低工资标准的工资；</w:t>
      </w:r>
    </w:p>
    <w:p w14:paraId="4429DAA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（五）提供本单位制造的货物、承担的工程或者服务（以下简称产品），或者提供其他残疾人福利性单位制造的货物（不包括使用非残疾人福利性单位注册商标的货物）。</w:t>
      </w:r>
    </w:p>
    <w:p w14:paraId="7B212F07">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1FAD305">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129CDA5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中标、成交供应商为残疾人福利性单位的，采购人或者其委托的采购代理机构应当随中标、成交结果同时公告其《残疾人福利性单位声明函》，接受社会监督。</w:t>
      </w:r>
    </w:p>
    <w:p w14:paraId="3C8721CF">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供应商提供的《残疾人福利性单位声明函》与事实不符的，依照《政府采购法》第七十七条第一款的规定追究法律责任。</w:t>
      </w:r>
    </w:p>
    <w:p w14:paraId="1B0F33F2">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1FAC34DF">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四、采购人采购公开招标数额标准以上的货物或者服务，因落实促进残疾人就业政策的需要，依法履行有关报批程序后，可采用公开招标以外的采购方式。</w:t>
      </w:r>
    </w:p>
    <w:p w14:paraId="270C485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42FC64CF">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240C314D">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七、本通知自2017年10月1日起执行。</w:t>
      </w:r>
    </w:p>
    <w:p w14:paraId="49516581">
      <w:pPr>
        <w:widowControl/>
        <w:spacing w:line="360" w:lineRule="auto"/>
        <w:jc w:val="left"/>
        <w:rPr>
          <w:rFonts w:ascii="宋体" w:hAnsi="宋体" w:cs="宋体"/>
          <w:color w:val="auto"/>
          <w:kern w:val="0"/>
          <w:szCs w:val="21"/>
          <w:highlight w:val="none"/>
        </w:rPr>
      </w:pPr>
      <w:r>
        <w:rPr>
          <w:rFonts w:ascii="宋体" w:hAnsi="宋体" w:cs="宋体"/>
          <w:color w:val="auto"/>
          <w:kern w:val="0"/>
          <w:szCs w:val="21"/>
          <w:highlight w:val="none"/>
        </w:rPr>
        <w:t>　　</w:t>
      </w:r>
    </w:p>
    <w:p w14:paraId="38131E7E">
      <w:pPr>
        <w:widowControl/>
        <w:spacing w:line="360" w:lineRule="auto"/>
        <w:jc w:val="right"/>
        <w:rPr>
          <w:rFonts w:ascii="宋体" w:hAnsi="宋体" w:cs="宋体"/>
          <w:color w:val="auto"/>
          <w:kern w:val="0"/>
          <w:szCs w:val="21"/>
          <w:highlight w:val="none"/>
        </w:rPr>
      </w:pPr>
      <w:r>
        <w:rPr>
          <w:rFonts w:hint="eastAsia" w:ascii="宋体" w:hAnsi="宋体" w:cs="宋体"/>
          <w:color w:val="auto"/>
          <w:kern w:val="0"/>
          <w:szCs w:val="21"/>
          <w:highlight w:val="none"/>
        </w:rPr>
        <w:t>财政部 民政部 中国残疾人联合会</w:t>
      </w:r>
    </w:p>
    <w:p w14:paraId="5C9D9E07">
      <w:pPr>
        <w:widowControl/>
        <w:spacing w:line="360" w:lineRule="auto"/>
        <w:jc w:val="right"/>
        <w:rPr>
          <w:rFonts w:ascii="宋体" w:hAnsi="宋体" w:cs="宋体"/>
          <w:color w:val="auto"/>
          <w:kern w:val="0"/>
          <w:szCs w:val="21"/>
          <w:highlight w:val="none"/>
        </w:rPr>
      </w:pPr>
    </w:p>
    <w:p w14:paraId="58E7DFF1">
      <w:pPr>
        <w:widowControl/>
        <w:spacing w:line="360" w:lineRule="auto"/>
        <w:jc w:val="right"/>
        <w:rPr>
          <w:rFonts w:ascii="宋体" w:hAnsi="宋体" w:cs="宋体"/>
          <w:color w:val="auto"/>
          <w:kern w:val="0"/>
          <w:szCs w:val="21"/>
          <w:highlight w:val="none"/>
        </w:rPr>
      </w:pPr>
      <w:r>
        <w:rPr>
          <w:rFonts w:hint="eastAsia" w:ascii="宋体" w:hAnsi="宋体" w:cs="宋体"/>
          <w:color w:val="auto"/>
          <w:kern w:val="0"/>
          <w:szCs w:val="21"/>
          <w:highlight w:val="none"/>
        </w:rPr>
        <w:t>  2017年8月22日</w:t>
      </w:r>
    </w:p>
    <w:p w14:paraId="7F94F41C">
      <w:pPr>
        <w:tabs>
          <w:tab w:val="left" w:pos="1875"/>
        </w:tabs>
        <w:rPr>
          <w:color w:val="auto"/>
          <w:highlight w:val="none"/>
        </w:rPr>
      </w:pPr>
    </w:p>
    <w:p w14:paraId="7D635C70">
      <w:pPr>
        <w:rPr>
          <w:color w:val="auto"/>
          <w:highlight w:val="none"/>
        </w:rPr>
      </w:pPr>
    </w:p>
    <w:p w14:paraId="3F3893A2">
      <w:pPr>
        <w:rPr>
          <w:rFonts w:hint="eastAsia" w:ascii="宋体" w:hAnsi="宋体" w:cs="宋体"/>
          <w:color w:val="auto"/>
          <w:szCs w:val="21"/>
          <w:highlight w:val="none"/>
        </w:rPr>
      </w:pPr>
    </w:p>
    <w:p w14:paraId="0ADD3180">
      <w:pPr>
        <w:ind w:left="-907" w:leftChars="-432"/>
        <w:jc w:val="center"/>
        <w:rPr>
          <w:rFonts w:hint="eastAsia" w:ascii="宋体" w:hAnsi="宋体" w:cs="宋体"/>
          <w:color w:val="auto"/>
          <w:sz w:val="22"/>
          <w:highlight w:val="none"/>
        </w:rPr>
      </w:pPr>
    </w:p>
    <w:p w14:paraId="1F16CE65">
      <w:pPr>
        <w:rPr>
          <w:color w:val="auto"/>
          <w:highlight w:val="none"/>
        </w:rPr>
      </w:pPr>
    </w:p>
    <w:sectPr>
      <w:pgSz w:w="11906" w:h="16838"/>
      <w:pgMar w:top="1440" w:right="1800" w:bottom="1440" w:left="1800" w:header="850"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H Yb 2gj">
    <w:altName w:val="黑体"/>
    <w:panose1 w:val="00000000000000000000"/>
    <w:charset w:val="86"/>
    <w:family w:val="auto"/>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21F6">
    <w:pPr>
      <w:pStyle w:val="27"/>
      <w:framePr w:wrap="around" w:vAnchor="text" w:hAnchor="margin" w:xAlign="center" w:y="1"/>
      <w:rPr>
        <w:rStyle w:val="47"/>
      </w:rPr>
    </w:pPr>
    <w:r>
      <w:fldChar w:fldCharType="begin"/>
    </w:r>
    <w:r>
      <w:rPr>
        <w:rStyle w:val="47"/>
      </w:rPr>
      <w:instrText xml:space="preserve">PAGE  </w:instrText>
    </w:r>
    <w:r>
      <w:fldChar w:fldCharType="end"/>
    </w:r>
  </w:p>
  <w:p w14:paraId="1A82C0E6">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897B0">
    <w:pPr>
      <w:pStyle w:val="2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39700"/>
              <wp:effectExtent l="3810" t="1270" r="0" b="1905"/>
              <wp:wrapNone/>
              <wp:docPr id="80975794"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79705" cy="139700"/>
                      </a:xfrm>
                      <a:prstGeom prst="rect">
                        <a:avLst/>
                      </a:prstGeom>
                      <a:noFill/>
                      <a:ln>
                        <a:noFill/>
                      </a:ln>
                    </wps:spPr>
                    <wps:txbx>
                      <w:txbxContent>
                        <w:p w14:paraId="3BB2FB38">
                          <w:pPr>
                            <w:pStyle w:val="27"/>
                            <w:jc w:val="center"/>
                          </w:pPr>
                          <w:r>
                            <w:fldChar w:fldCharType="begin"/>
                          </w:r>
                          <w:r>
                            <w:instrText xml:space="preserve">PAGE   \* MERGEFORMAT</w:instrText>
                          </w:r>
                          <w:r>
                            <w:fldChar w:fldCharType="separate"/>
                          </w:r>
                          <w:r>
                            <w:rPr>
                              <w:lang w:val="zh-CN" w:eastAsia="zh-CN"/>
                            </w:rPr>
                            <w:t>-</w:t>
                          </w:r>
                          <w:r>
                            <w:rPr>
                              <w:lang w:val="en-US" w:eastAsia="zh-CN"/>
                            </w:rPr>
                            <w:t xml:space="preserve"> 16 -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kWesdAAAAADAQAADwAAAAAAAAABACAAAAAiAAAA&#10;ZHJzL2Rvd25yZXYueG1sUEsBAhQAFAAAAAgAh07iQNB4oC0PAgAACQQAAA4AAAAAAAAAAQAgAAAA&#10;HwEAAGRycy9lMm9Eb2MueG1sUEsFBgAAAAAGAAYAWQEAAKAFAAAAAA==&#10;">
              <v:fill on="f" focussize="0,0"/>
              <v:stroke on="f"/>
              <v:imagedata o:title=""/>
              <o:lock v:ext="edit" aspectratio="f"/>
              <v:textbox inset="0mm,0mm,0mm,0mm" style="mso-fit-shape-to-text:t;">
                <w:txbxContent>
                  <w:p w14:paraId="3BB2FB38">
                    <w:pPr>
                      <w:pStyle w:val="27"/>
                      <w:jc w:val="center"/>
                    </w:pPr>
                    <w:r>
                      <w:fldChar w:fldCharType="begin"/>
                    </w:r>
                    <w:r>
                      <w:instrText xml:space="preserve">PAGE   \* MERGEFORMAT</w:instrText>
                    </w:r>
                    <w:r>
                      <w:fldChar w:fldCharType="separate"/>
                    </w:r>
                    <w:r>
                      <w:rPr>
                        <w:lang w:val="zh-CN" w:eastAsia="zh-CN"/>
                      </w:rPr>
                      <w:t>-</w:t>
                    </w:r>
                    <w:r>
                      <w:rPr>
                        <w:lang w:val="en-US" w:eastAsia="zh-CN"/>
                      </w:rPr>
                      <w:t xml:space="preserve"> 16 -</w:t>
                    </w:r>
                    <w:r>
                      <w:fldChar w:fldCharType="end"/>
                    </w:r>
                  </w:p>
                </w:txbxContent>
              </v:textbox>
            </v:shape>
          </w:pict>
        </mc:Fallback>
      </mc:AlternateContent>
    </w:r>
  </w:p>
  <w:p w14:paraId="43BE5F68">
    <w:pPr>
      <w:pStyle w:val="2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F044">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705" cy="139700"/>
              <wp:effectExtent l="3810" t="0" r="0" b="0"/>
              <wp:wrapNone/>
              <wp:docPr id="5743716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9705" cy="139700"/>
                      </a:xfrm>
                      <a:prstGeom prst="rect">
                        <a:avLst/>
                      </a:prstGeom>
                      <a:noFill/>
                      <a:ln>
                        <a:noFill/>
                      </a:ln>
                    </wps:spPr>
                    <wps:txbx>
                      <w:txbxContent>
                        <w:p w14:paraId="2211B9BB">
                          <w:pPr>
                            <w:pStyle w:val="27"/>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- 2 -</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pt;width:14.15pt;mso-position-horizontal:center;mso-position-horizontal-relative:margin;mso-wrap-style:none;z-index:251660288;mso-width-relative:page;mso-height-relative:page;" filled="f" stroked="f" coordsize="21600,21600" o:gfxdata="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qRZ6x0AAAAAMBAAAPAAAAAAAAAAEAIAAAACIA&#10;AABkcnMvZG93bnJldi54bWxQSwECFAAUAAAACACHTuJAgmtGKhECAAAKBAAADgAAAAAAAAABACAA&#10;AAAfAQAAZHJzL2Uyb0RvYy54bWxQSwUGAAAAAAYABgBZAQAAogUAAAAA&#10;">
              <v:fill on="f" focussize="0,0"/>
              <v:stroke on="f"/>
              <v:imagedata o:title=""/>
              <o:lock v:ext="edit" aspectratio="f"/>
              <v:textbox inset="0mm,0mm,0mm,0mm" style="mso-fit-shape-to-text:t;">
                <w:txbxContent>
                  <w:p w14:paraId="2211B9BB">
                    <w:pPr>
                      <w:pStyle w:val="27"/>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- 2 -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F0E8F">
    <w:pPr>
      <w:pStyle w:val="29"/>
      <w:pBdr>
        <w:bottom w:val="none" w:color="auto" w:sz="0" w:space="0"/>
      </w:pBdr>
    </w:pPr>
  </w:p>
  <w:p w14:paraId="7264A806">
    <w:pPr>
      <w:pStyle w:val="2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8BE4F"/>
    <w:multiLevelType w:val="singleLevel"/>
    <w:tmpl w:val="9A48BE4F"/>
    <w:lvl w:ilvl="0" w:tentative="0">
      <w:start w:val="1"/>
      <w:numFmt w:val="chineseCounting"/>
      <w:suff w:val="nothing"/>
      <w:lvlText w:val="（%1）"/>
      <w:lvlJc w:val="left"/>
      <w:pPr>
        <w:ind w:left="0" w:firstLine="420"/>
      </w:pPr>
      <w:rPr>
        <w:rFonts w:hint="eastAsia"/>
        <w:b/>
        <w:bCs/>
      </w:rPr>
    </w:lvl>
  </w:abstractNum>
  <w:abstractNum w:abstractNumId="1">
    <w:nsid w:val="C1DCF720"/>
    <w:multiLevelType w:val="singleLevel"/>
    <w:tmpl w:val="C1DCF720"/>
    <w:lvl w:ilvl="0" w:tentative="0">
      <w:start w:val="1"/>
      <w:numFmt w:val="chineseCounting"/>
      <w:suff w:val="nothing"/>
      <w:lvlText w:val="%1、"/>
      <w:lvlJc w:val="left"/>
      <w:pPr>
        <w:ind w:left="0" w:firstLine="420"/>
      </w:pPr>
      <w:rPr>
        <w:rFonts w:hint="eastAsia"/>
      </w:rPr>
    </w:lvl>
  </w:abstractNum>
  <w:abstractNum w:abstractNumId="2">
    <w:nsid w:val="CEC97EAB"/>
    <w:multiLevelType w:val="singleLevel"/>
    <w:tmpl w:val="CEC97EAB"/>
    <w:lvl w:ilvl="0" w:tentative="0">
      <w:start w:val="1"/>
      <w:numFmt w:val="chineseCounting"/>
      <w:suff w:val="nothing"/>
      <w:lvlText w:val="%1、"/>
      <w:lvlJc w:val="left"/>
      <w:rPr>
        <w:rFonts w:hint="eastAsia"/>
      </w:rPr>
    </w:lvl>
  </w:abstractNum>
  <w:abstractNum w:abstractNumId="3">
    <w:nsid w:val="DB811B52"/>
    <w:multiLevelType w:val="singleLevel"/>
    <w:tmpl w:val="DB811B52"/>
    <w:lvl w:ilvl="0" w:tentative="0">
      <w:start w:val="1"/>
      <w:numFmt w:val="chineseCounting"/>
      <w:suff w:val="nothing"/>
      <w:lvlText w:val="%1、"/>
      <w:lvlJc w:val="left"/>
      <w:pPr>
        <w:ind w:left="0" w:firstLine="420"/>
      </w:pPr>
      <w:rPr>
        <w:rFonts w:hint="eastAsia"/>
      </w:rPr>
    </w:lvl>
  </w:abstractNum>
  <w:abstractNum w:abstractNumId="4">
    <w:nsid w:val="EC8AD509"/>
    <w:multiLevelType w:val="singleLevel"/>
    <w:tmpl w:val="EC8AD509"/>
    <w:lvl w:ilvl="0" w:tentative="0">
      <w:start w:val="1"/>
      <w:numFmt w:val="chineseCounting"/>
      <w:suff w:val="nothing"/>
      <w:lvlText w:val="（%1）"/>
      <w:lvlJc w:val="left"/>
      <w:pPr>
        <w:ind w:left="0" w:firstLine="420"/>
      </w:pPr>
      <w:rPr>
        <w:rFonts w:hint="eastAsia"/>
      </w:rPr>
    </w:lvl>
  </w:abstractNum>
  <w:abstractNum w:abstractNumId="5">
    <w:nsid w:val="FFFFFF7C"/>
    <w:multiLevelType w:val="singleLevel"/>
    <w:tmpl w:val="FFFFFF7C"/>
    <w:lvl w:ilvl="0" w:tentative="0">
      <w:start w:val="1"/>
      <w:numFmt w:val="decimal"/>
      <w:lvlText w:val="%1."/>
      <w:lvlJc w:val="left"/>
      <w:pPr>
        <w:tabs>
          <w:tab w:val="left" w:pos="2040"/>
        </w:tabs>
        <w:ind w:left="2040" w:hanging="360"/>
      </w:pPr>
    </w:lvl>
  </w:abstractNum>
  <w:abstractNum w:abstractNumId="6">
    <w:nsid w:val="3693089E"/>
    <w:multiLevelType w:val="singleLevel"/>
    <w:tmpl w:val="3693089E"/>
    <w:lvl w:ilvl="0" w:tentative="0">
      <w:start w:val="1"/>
      <w:numFmt w:val="chineseCounting"/>
      <w:suff w:val="nothing"/>
      <w:lvlText w:val="%1、"/>
      <w:lvlJc w:val="left"/>
      <w:pPr>
        <w:ind w:left="0" w:firstLine="420"/>
      </w:pPr>
      <w:rPr>
        <w:rFonts w:hint="eastAsia"/>
      </w:rPr>
    </w:lvl>
  </w:abstractNum>
  <w:abstractNum w:abstractNumId="7">
    <w:nsid w:val="3A7E7524"/>
    <w:multiLevelType w:val="singleLevel"/>
    <w:tmpl w:val="3A7E7524"/>
    <w:lvl w:ilvl="0" w:tentative="0">
      <w:start w:val="2"/>
      <w:numFmt w:val="chineseCounting"/>
      <w:suff w:val="nothing"/>
      <w:lvlText w:val="（%1）"/>
      <w:lvlJc w:val="left"/>
      <w:rPr>
        <w:rFonts w:hint="eastAsia"/>
      </w:rPr>
    </w:lvl>
  </w:abstractNum>
  <w:abstractNum w:abstractNumId="8">
    <w:nsid w:val="3EC84A5C"/>
    <w:multiLevelType w:val="multilevel"/>
    <w:tmpl w:val="3EC84A5C"/>
    <w:lvl w:ilvl="0" w:tentative="0">
      <w:start w:val="1"/>
      <w:numFmt w:val="decimal"/>
      <w:lvlText w:val="%1."/>
      <w:lvlJc w:val="left"/>
      <w:pPr>
        <w:tabs>
          <w:tab w:val="left" w:pos="907"/>
        </w:tabs>
        <w:ind w:left="907" w:hanging="907"/>
      </w:pPr>
      <w:rPr>
        <w:rFonts w:hint="eastAsia"/>
      </w:rPr>
    </w:lvl>
    <w:lvl w:ilvl="1" w:tentative="0">
      <w:start w:val="1"/>
      <w:numFmt w:val="decimal"/>
      <w:lvlText w:val="%1.%2."/>
      <w:lvlJc w:val="left"/>
      <w:pPr>
        <w:ind w:left="907" w:firstLine="0"/>
      </w:pPr>
      <w:rPr>
        <w:rFonts w:hint="eastAsia"/>
      </w:rPr>
    </w:lvl>
    <w:lvl w:ilvl="2" w:tentative="0">
      <w:start w:val="1"/>
      <w:numFmt w:val="decimal"/>
      <w:lvlText w:val="%1.%2.%3."/>
      <w:lvlJc w:val="left"/>
      <w:pPr>
        <w:ind w:left="1814" w:firstLine="0"/>
      </w:pPr>
      <w:rPr>
        <w:rFonts w:hint="eastAsia"/>
      </w:rPr>
    </w:lvl>
    <w:lvl w:ilvl="3" w:tentative="0">
      <w:start w:val="1"/>
      <w:numFmt w:val="decimal"/>
      <w:lvlText w:val="%1.%2.%3.%4."/>
      <w:lvlJc w:val="left"/>
      <w:pPr>
        <w:ind w:left="2721" w:firstLine="0"/>
      </w:pPr>
      <w:rPr>
        <w:rFonts w:hint="eastAsia"/>
      </w:rPr>
    </w:lvl>
    <w:lvl w:ilvl="4" w:tentative="0">
      <w:start w:val="1"/>
      <w:numFmt w:val="decimal"/>
      <w:lvlText w:val="%1.%2.%3.%4.%5."/>
      <w:lvlJc w:val="left"/>
      <w:pPr>
        <w:ind w:left="3628" w:firstLine="0"/>
      </w:pPr>
      <w:rPr>
        <w:rFonts w:hint="eastAsia"/>
      </w:rPr>
    </w:lvl>
    <w:lvl w:ilvl="5" w:tentative="0">
      <w:start w:val="1"/>
      <w:numFmt w:val="decimal"/>
      <w:lvlText w:val="%1.%2.%3.%4.%5.%6."/>
      <w:lvlJc w:val="left"/>
      <w:pPr>
        <w:ind w:left="4535" w:firstLine="0"/>
      </w:pPr>
      <w:rPr>
        <w:rFonts w:hint="eastAsia"/>
      </w:rPr>
    </w:lvl>
    <w:lvl w:ilvl="6" w:tentative="0">
      <w:start w:val="1"/>
      <w:numFmt w:val="decimal"/>
      <w:lvlText w:val="%1.%2.%3.%4.%5.%6.%7."/>
      <w:lvlJc w:val="left"/>
      <w:pPr>
        <w:ind w:left="5442" w:firstLine="0"/>
      </w:pPr>
      <w:rPr>
        <w:rFonts w:hint="eastAsia"/>
      </w:rPr>
    </w:lvl>
    <w:lvl w:ilvl="7" w:tentative="0">
      <w:start w:val="1"/>
      <w:numFmt w:val="decimal"/>
      <w:lvlText w:val="%1.%2.%3.%4.%5.%6.%7.%8."/>
      <w:lvlJc w:val="left"/>
      <w:pPr>
        <w:ind w:left="6349" w:firstLine="0"/>
      </w:pPr>
      <w:rPr>
        <w:rFonts w:hint="eastAsia"/>
      </w:rPr>
    </w:lvl>
    <w:lvl w:ilvl="8" w:tentative="0">
      <w:start w:val="1"/>
      <w:numFmt w:val="decimal"/>
      <w:lvlText w:val="%1.%2.%3.%4.%5.%6.%7.%8.%9."/>
      <w:lvlJc w:val="left"/>
      <w:pPr>
        <w:ind w:left="7256" w:firstLine="0"/>
      </w:pPr>
      <w:rPr>
        <w:rFonts w:hint="eastAsia"/>
      </w:rPr>
    </w:lvl>
  </w:abstractNum>
  <w:abstractNum w:abstractNumId="9">
    <w:nsid w:val="40A41628"/>
    <w:multiLevelType w:val="multilevel"/>
    <w:tmpl w:val="40A4162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6297788"/>
    <w:multiLevelType w:val="singleLevel"/>
    <w:tmpl w:val="56297788"/>
    <w:lvl w:ilvl="0" w:tentative="0">
      <w:start w:val="2"/>
      <w:numFmt w:val="chineseCounting"/>
      <w:suff w:val="nothing"/>
      <w:lvlText w:val="（%1）"/>
      <w:lvlJc w:val="left"/>
      <w:rPr>
        <w:rFonts w:hint="eastAsia"/>
      </w:rPr>
    </w:lvl>
  </w:abstractNum>
  <w:abstractNum w:abstractNumId="11">
    <w:nsid w:val="63B90968"/>
    <w:multiLevelType w:val="multilevel"/>
    <w:tmpl w:val="63B9096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C469EF2"/>
    <w:multiLevelType w:val="singleLevel"/>
    <w:tmpl w:val="7C469EF2"/>
    <w:lvl w:ilvl="0" w:tentative="0">
      <w:start w:val="2"/>
      <w:numFmt w:val="chineseCounting"/>
      <w:suff w:val="space"/>
      <w:lvlText w:val="第%1章"/>
      <w:lvlJc w:val="left"/>
      <w:rPr>
        <w:rFonts w:hint="eastAsia"/>
        <w:b/>
        <w:bCs/>
        <w:sz w:val="36"/>
        <w:szCs w:val="36"/>
      </w:rPr>
    </w:lvl>
  </w:abstractNum>
  <w:abstractNum w:abstractNumId="13">
    <w:nsid w:val="7DE7B475"/>
    <w:multiLevelType w:val="singleLevel"/>
    <w:tmpl w:val="7DE7B475"/>
    <w:lvl w:ilvl="0" w:tentative="0">
      <w:start w:val="1"/>
      <w:numFmt w:val="chineseCounting"/>
      <w:suff w:val="nothing"/>
      <w:lvlText w:val="%1、"/>
      <w:lvlJc w:val="left"/>
      <w:pPr>
        <w:ind w:left="0" w:firstLine="420"/>
      </w:pPr>
      <w:rPr>
        <w:rFonts w:hint="eastAsia" w:ascii="宋体" w:hAnsi="宋体" w:eastAsia="宋体" w:cs="宋体"/>
        <w:sz w:val="28"/>
        <w:szCs w:val="28"/>
      </w:rPr>
    </w:lvl>
  </w:abstractNum>
  <w:num w:numId="1">
    <w:abstractNumId w:val="5"/>
  </w:num>
  <w:num w:numId="2">
    <w:abstractNumId w:val="11"/>
  </w:num>
  <w:num w:numId="3">
    <w:abstractNumId w:val="9"/>
  </w:num>
  <w:num w:numId="4">
    <w:abstractNumId w:val="12"/>
  </w:num>
  <w:num w:numId="5">
    <w:abstractNumId w:val="13"/>
  </w:num>
  <w:num w:numId="6">
    <w:abstractNumId w:val="7"/>
  </w:num>
  <w:num w:numId="7">
    <w:abstractNumId w:val="1"/>
  </w:num>
  <w:num w:numId="8">
    <w:abstractNumId w:val="0"/>
  </w:num>
  <w:num w:numId="9">
    <w:abstractNumId w:val="4"/>
  </w:num>
  <w:num w:numId="10">
    <w:abstractNumId w:val="10"/>
  </w:num>
  <w:num w:numId="11">
    <w:abstractNumId w:val="6"/>
  </w:num>
  <w:num w:numId="12">
    <w:abstractNumId w:val="8"/>
  </w:num>
  <w:num w:numId="13">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default" w:ascii="Times New Roman" w:hAnsi="Times New Roman" w:cs="Times New Roman"/>
          <w:b w:val="0"/>
        </w:rPr>
      </w:lvl>
    </w:lvlOverride>
    <w:lvlOverride w:ilvl="2">
      <w:lvl w:ilvl="2" w:tentative="1">
        <w:start w:val="1"/>
        <w:numFmt w:val="decimal"/>
        <w:lvlText w:val="%1.%2.%3."/>
        <w:lvlJc w:val="left"/>
        <w:pPr>
          <w:ind w:left="1814" w:firstLine="0"/>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4">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5">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tentative="1">
        <w:start w:val="1"/>
        <w:numFmt w:val="decimal"/>
        <w:lvlText w:val="%1.%2.%3.%4."/>
        <w:lvlJc w:val="left"/>
        <w:pPr>
          <w:tabs>
            <w:tab w:val="left" w:pos="907"/>
          </w:tabs>
          <w:ind w:left="907" w:hanging="907"/>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6">
    <w:abstractNumId w:val="3"/>
  </w:num>
  <w:num w:numId="17">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default" w:ascii="Times New Roman" w:hAnsi="Times New Roman" w:cs="Times New Roman"/>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8">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default" w:ascii="Times New Roman" w:hAnsi="Times New Roman" w:cs="Times New Roman"/>
          <w:b w:val="0"/>
        </w:rPr>
      </w:lvl>
    </w:lvlOverride>
    <w:lvlOverride w:ilvl="2">
      <w:lvl w:ilvl="2" w:tentative="1">
        <w:start w:val="1"/>
        <w:numFmt w:val="decimal"/>
        <w:lvlText w:val="%1.%2.%3."/>
        <w:lvlJc w:val="left"/>
        <w:pPr>
          <w:ind w:left="1814" w:firstLine="0"/>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9">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jMTVjMDgyOTBjZGRlMDk5YTFlNzc5YzVlZDk4MTQifQ=="/>
  </w:docVars>
  <w:rsids>
    <w:rsidRoot w:val="00CB5F4D"/>
    <w:rsid w:val="00002630"/>
    <w:rsid w:val="000041EE"/>
    <w:rsid w:val="00011B6D"/>
    <w:rsid w:val="00013AFA"/>
    <w:rsid w:val="000172EA"/>
    <w:rsid w:val="000179A0"/>
    <w:rsid w:val="00020502"/>
    <w:rsid w:val="00021629"/>
    <w:rsid w:val="00022F65"/>
    <w:rsid w:val="000264C4"/>
    <w:rsid w:val="00027960"/>
    <w:rsid w:val="00031CC3"/>
    <w:rsid w:val="00031F11"/>
    <w:rsid w:val="00041922"/>
    <w:rsid w:val="00042FDC"/>
    <w:rsid w:val="0004428A"/>
    <w:rsid w:val="00044486"/>
    <w:rsid w:val="00045282"/>
    <w:rsid w:val="00045B01"/>
    <w:rsid w:val="00046B0D"/>
    <w:rsid w:val="000472C6"/>
    <w:rsid w:val="00050098"/>
    <w:rsid w:val="00056E6A"/>
    <w:rsid w:val="00062F98"/>
    <w:rsid w:val="00064B9D"/>
    <w:rsid w:val="00065A0F"/>
    <w:rsid w:val="00065F24"/>
    <w:rsid w:val="00071023"/>
    <w:rsid w:val="00072300"/>
    <w:rsid w:val="00081BAF"/>
    <w:rsid w:val="000828B3"/>
    <w:rsid w:val="00082EC1"/>
    <w:rsid w:val="00086219"/>
    <w:rsid w:val="0008711D"/>
    <w:rsid w:val="000B34AA"/>
    <w:rsid w:val="000B5659"/>
    <w:rsid w:val="000B6444"/>
    <w:rsid w:val="000C1B7E"/>
    <w:rsid w:val="000C1EE4"/>
    <w:rsid w:val="000C2E75"/>
    <w:rsid w:val="000C4376"/>
    <w:rsid w:val="000C5FC9"/>
    <w:rsid w:val="000D362C"/>
    <w:rsid w:val="000D3814"/>
    <w:rsid w:val="000D528A"/>
    <w:rsid w:val="000D79FB"/>
    <w:rsid w:val="000E1DD0"/>
    <w:rsid w:val="000E4F0E"/>
    <w:rsid w:val="000E6A59"/>
    <w:rsid w:val="000E7927"/>
    <w:rsid w:val="000F2005"/>
    <w:rsid w:val="000F3457"/>
    <w:rsid w:val="000F3EE7"/>
    <w:rsid w:val="000F6795"/>
    <w:rsid w:val="000F6ADE"/>
    <w:rsid w:val="0010177E"/>
    <w:rsid w:val="0010283D"/>
    <w:rsid w:val="00105773"/>
    <w:rsid w:val="00110CD2"/>
    <w:rsid w:val="00111F24"/>
    <w:rsid w:val="001124E4"/>
    <w:rsid w:val="00114190"/>
    <w:rsid w:val="00115687"/>
    <w:rsid w:val="0011663A"/>
    <w:rsid w:val="00117CE6"/>
    <w:rsid w:val="001219F8"/>
    <w:rsid w:val="00121F40"/>
    <w:rsid w:val="00122107"/>
    <w:rsid w:val="00124543"/>
    <w:rsid w:val="00127EF0"/>
    <w:rsid w:val="001410C1"/>
    <w:rsid w:val="00143B2C"/>
    <w:rsid w:val="00145E24"/>
    <w:rsid w:val="001551D6"/>
    <w:rsid w:val="001564B7"/>
    <w:rsid w:val="00157415"/>
    <w:rsid w:val="00160470"/>
    <w:rsid w:val="00160D8F"/>
    <w:rsid w:val="001613A4"/>
    <w:rsid w:val="001676EA"/>
    <w:rsid w:val="001677DC"/>
    <w:rsid w:val="001716CE"/>
    <w:rsid w:val="00172A8A"/>
    <w:rsid w:val="00172ACD"/>
    <w:rsid w:val="00176499"/>
    <w:rsid w:val="001827FF"/>
    <w:rsid w:val="00183896"/>
    <w:rsid w:val="00184429"/>
    <w:rsid w:val="00185A6C"/>
    <w:rsid w:val="00186A21"/>
    <w:rsid w:val="00187EC7"/>
    <w:rsid w:val="00192148"/>
    <w:rsid w:val="00193C5A"/>
    <w:rsid w:val="00195661"/>
    <w:rsid w:val="001A1044"/>
    <w:rsid w:val="001A25DD"/>
    <w:rsid w:val="001A57ED"/>
    <w:rsid w:val="001A6CC8"/>
    <w:rsid w:val="001B0B76"/>
    <w:rsid w:val="001B246F"/>
    <w:rsid w:val="001B5524"/>
    <w:rsid w:val="001C08CC"/>
    <w:rsid w:val="001D22BD"/>
    <w:rsid w:val="001D292B"/>
    <w:rsid w:val="001D676A"/>
    <w:rsid w:val="001D705B"/>
    <w:rsid w:val="001E469D"/>
    <w:rsid w:val="001E59B1"/>
    <w:rsid w:val="001E700E"/>
    <w:rsid w:val="001F0115"/>
    <w:rsid w:val="001F0195"/>
    <w:rsid w:val="001F028C"/>
    <w:rsid w:val="001F0E50"/>
    <w:rsid w:val="002024CE"/>
    <w:rsid w:val="002034CB"/>
    <w:rsid w:val="00207F3E"/>
    <w:rsid w:val="00211ED2"/>
    <w:rsid w:val="0021232A"/>
    <w:rsid w:val="002176DB"/>
    <w:rsid w:val="00220360"/>
    <w:rsid w:val="002218E3"/>
    <w:rsid w:val="0022206E"/>
    <w:rsid w:val="00225423"/>
    <w:rsid w:val="002263A6"/>
    <w:rsid w:val="00227C4C"/>
    <w:rsid w:val="00232869"/>
    <w:rsid w:val="0023298A"/>
    <w:rsid w:val="00233F52"/>
    <w:rsid w:val="00235222"/>
    <w:rsid w:val="0023539E"/>
    <w:rsid w:val="00236221"/>
    <w:rsid w:val="00240631"/>
    <w:rsid w:val="00242875"/>
    <w:rsid w:val="0024317D"/>
    <w:rsid w:val="00244902"/>
    <w:rsid w:val="002456B1"/>
    <w:rsid w:val="00245AF3"/>
    <w:rsid w:val="00250A49"/>
    <w:rsid w:val="00250F27"/>
    <w:rsid w:val="00254624"/>
    <w:rsid w:val="00254803"/>
    <w:rsid w:val="0025482B"/>
    <w:rsid w:val="00260F3C"/>
    <w:rsid w:val="00261C46"/>
    <w:rsid w:val="00262771"/>
    <w:rsid w:val="00271E2D"/>
    <w:rsid w:val="00275CC1"/>
    <w:rsid w:val="002770D0"/>
    <w:rsid w:val="00277DD7"/>
    <w:rsid w:val="00280B44"/>
    <w:rsid w:val="00281DB6"/>
    <w:rsid w:val="002829A4"/>
    <w:rsid w:val="00283B3D"/>
    <w:rsid w:val="00283E11"/>
    <w:rsid w:val="00286A94"/>
    <w:rsid w:val="002926A4"/>
    <w:rsid w:val="002926DA"/>
    <w:rsid w:val="0029272D"/>
    <w:rsid w:val="00294FE3"/>
    <w:rsid w:val="00295925"/>
    <w:rsid w:val="00295B1E"/>
    <w:rsid w:val="002A0443"/>
    <w:rsid w:val="002A65E2"/>
    <w:rsid w:val="002A7F18"/>
    <w:rsid w:val="002B0B81"/>
    <w:rsid w:val="002B0FA1"/>
    <w:rsid w:val="002B1E82"/>
    <w:rsid w:val="002B3A14"/>
    <w:rsid w:val="002B4F08"/>
    <w:rsid w:val="002C0F07"/>
    <w:rsid w:val="002C3207"/>
    <w:rsid w:val="002C36B2"/>
    <w:rsid w:val="002C452F"/>
    <w:rsid w:val="002C5E38"/>
    <w:rsid w:val="002C627A"/>
    <w:rsid w:val="002C6693"/>
    <w:rsid w:val="002C67E9"/>
    <w:rsid w:val="002D032A"/>
    <w:rsid w:val="002D11B2"/>
    <w:rsid w:val="002D190A"/>
    <w:rsid w:val="002D24D6"/>
    <w:rsid w:val="002D356B"/>
    <w:rsid w:val="002E2DEC"/>
    <w:rsid w:val="002E2FAD"/>
    <w:rsid w:val="002E3B1A"/>
    <w:rsid w:val="002E3CF4"/>
    <w:rsid w:val="002E5D81"/>
    <w:rsid w:val="002E75E9"/>
    <w:rsid w:val="002E7A3E"/>
    <w:rsid w:val="002F1139"/>
    <w:rsid w:val="002F2FC0"/>
    <w:rsid w:val="002F3B73"/>
    <w:rsid w:val="002F497D"/>
    <w:rsid w:val="002F5C56"/>
    <w:rsid w:val="00302AAC"/>
    <w:rsid w:val="003101A0"/>
    <w:rsid w:val="003123CE"/>
    <w:rsid w:val="00312FA2"/>
    <w:rsid w:val="0031525E"/>
    <w:rsid w:val="00316C96"/>
    <w:rsid w:val="0033071C"/>
    <w:rsid w:val="00331167"/>
    <w:rsid w:val="0033360F"/>
    <w:rsid w:val="00335898"/>
    <w:rsid w:val="003359CB"/>
    <w:rsid w:val="0033671D"/>
    <w:rsid w:val="0033794E"/>
    <w:rsid w:val="00342313"/>
    <w:rsid w:val="003616A6"/>
    <w:rsid w:val="00361EAB"/>
    <w:rsid w:val="0036349B"/>
    <w:rsid w:val="00374DCF"/>
    <w:rsid w:val="003776FA"/>
    <w:rsid w:val="003838B7"/>
    <w:rsid w:val="00384DA1"/>
    <w:rsid w:val="003855F4"/>
    <w:rsid w:val="00385D2E"/>
    <w:rsid w:val="00395A75"/>
    <w:rsid w:val="003A04F0"/>
    <w:rsid w:val="003A0B65"/>
    <w:rsid w:val="003A3305"/>
    <w:rsid w:val="003A49B5"/>
    <w:rsid w:val="003A5BCB"/>
    <w:rsid w:val="003B291A"/>
    <w:rsid w:val="003B2AAA"/>
    <w:rsid w:val="003B302F"/>
    <w:rsid w:val="003B555E"/>
    <w:rsid w:val="003B60C9"/>
    <w:rsid w:val="003B74B1"/>
    <w:rsid w:val="003C4C61"/>
    <w:rsid w:val="003D14DA"/>
    <w:rsid w:val="003D3D47"/>
    <w:rsid w:val="003D5631"/>
    <w:rsid w:val="003D5A95"/>
    <w:rsid w:val="003D72EC"/>
    <w:rsid w:val="003E017A"/>
    <w:rsid w:val="003E181B"/>
    <w:rsid w:val="003E2A7C"/>
    <w:rsid w:val="003E3B82"/>
    <w:rsid w:val="003E463B"/>
    <w:rsid w:val="003E5474"/>
    <w:rsid w:val="003E6289"/>
    <w:rsid w:val="003F3CC4"/>
    <w:rsid w:val="00400865"/>
    <w:rsid w:val="0040157F"/>
    <w:rsid w:val="004031DB"/>
    <w:rsid w:val="004035AB"/>
    <w:rsid w:val="004043F6"/>
    <w:rsid w:val="004055E0"/>
    <w:rsid w:val="00406E2C"/>
    <w:rsid w:val="0040700C"/>
    <w:rsid w:val="00411177"/>
    <w:rsid w:val="00415F57"/>
    <w:rsid w:val="004168C9"/>
    <w:rsid w:val="00416D55"/>
    <w:rsid w:val="00421E0A"/>
    <w:rsid w:val="004233AA"/>
    <w:rsid w:val="00423864"/>
    <w:rsid w:val="00427C85"/>
    <w:rsid w:val="00431AF3"/>
    <w:rsid w:val="0043700A"/>
    <w:rsid w:val="00444D53"/>
    <w:rsid w:val="004457BC"/>
    <w:rsid w:val="004521BF"/>
    <w:rsid w:val="00455895"/>
    <w:rsid w:val="00455DA0"/>
    <w:rsid w:val="00457C81"/>
    <w:rsid w:val="00463FC1"/>
    <w:rsid w:val="00464B79"/>
    <w:rsid w:val="00464D1B"/>
    <w:rsid w:val="004664B7"/>
    <w:rsid w:val="004717B9"/>
    <w:rsid w:val="00472484"/>
    <w:rsid w:val="00473BDF"/>
    <w:rsid w:val="00474DF0"/>
    <w:rsid w:val="004755BA"/>
    <w:rsid w:val="00475665"/>
    <w:rsid w:val="0047784C"/>
    <w:rsid w:val="00480FDA"/>
    <w:rsid w:val="004820D9"/>
    <w:rsid w:val="004823D2"/>
    <w:rsid w:val="00483534"/>
    <w:rsid w:val="0048411E"/>
    <w:rsid w:val="004879FE"/>
    <w:rsid w:val="0049155D"/>
    <w:rsid w:val="004B0978"/>
    <w:rsid w:val="004B3195"/>
    <w:rsid w:val="004B5617"/>
    <w:rsid w:val="004C062C"/>
    <w:rsid w:val="004C15AF"/>
    <w:rsid w:val="004C443C"/>
    <w:rsid w:val="004C6740"/>
    <w:rsid w:val="004D2986"/>
    <w:rsid w:val="004D4F6C"/>
    <w:rsid w:val="004E1D99"/>
    <w:rsid w:val="004E23F2"/>
    <w:rsid w:val="004E6D89"/>
    <w:rsid w:val="004F364B"/>
    <w:rsid w:val="004F4546"/>
    <w:rsid w:val="004F788F"/>
    <w:rsid w:val="0050033D"/>
    <w:rsid w:val="00500B1E"/>
    <w:rsid w:val="00501EE6"/>
    <w:rsid w:val="00502446"/>
    <w:rsid w:val="00502E84"/>
    <w:rsid w:val="005172ED"/>
    <w:rsid w:val="005201E1"/>
    <w:rsid w:val="00520A78"/>
    <w:rsid w:val="00521387"/>
    <w:rsid w:val="00521BF8"/>
    <w:rsid w:val="00524EC8"/>
    <w:rsid w:val="00527748"/>
    <w:rsid w:val="005342C5"/>
    <w:rsid w:val="00541943"/>
    <w:rsid w:val="00544D36"/>
    <w:rsid w:val="00544F7C"/>
    <w:rsid w:val="00546262"/>
    <w:rsid w:val="005527F3"/>
    <w:rsid w:val="005621A6"/>
    <w:rsid w:val="00566B40"/>
    <w:rsid w:val="00571241"/>
    <w:rsid w:val="0057247C"/>
    <w:rsid w:val="00573856"/>
    <w:rsid w:val="005768AE"/>
    <w:rsid w:val="005779FF"/>
    <w:rsid w:val="005816F7"/>
    <w:rsid w:val="0058454F"/>
    <w:rsid w:val="00586FFC"/>
    <w:rsid w:val="00591C43"/>
    <w:rsid w:val="0059576A"/>
    <w:rsid w:val="00596C1A"/>
    <w:rsid w:val="005A1CE3"/>
    <w:rsid w:val="005A2A5F"/>
    <w:rsid w:val="005A3797"/>
    <w:rsid w:val="005A69AF"/>
    <w:rsid w:val="005A78F7"/>
    <w:rsid w:val="005B17D6"/>
    <w:rsid w:val="005B483C"/>
    <w:rsid w:val="005C5E4F"/>
    <w:rsid w:val="005D1402"/>
    <w:rsid w:val="005D30CF"/>
    <w:rsid w:val="005D3464"/>
    <w:rsid w:val="005D3745"/>
    <w:rsid w:val="005D5E0C"/>
    <w:rsid w:val="005D5F3C"/>
    <w:rsid w:val="005E2C00"/>
    <w:rsid w:val="005E341A"/>
    <w:rsid w:val="005E5149"/>
    <w:rsid w:val="005E7E47"/>
    <w:rsid w:val="005F2109"/>
    <w:rsid w:val="005F3BC5"/>
    <w:rsid w:val="005F4061"/>
    <w:rsid w:val="00606C64"/>
    <w:rsid w:val="00613AA2"/>
    <w:rsid w:val="00614B37"/>
    <w:rsid w:val="0062069F"/>
    <w:rsid w:val="006208EF"/>
    <w:rsid w:val="00621E24"/>
    <w:rsid w:val="00624AC8"/>
    <w:rsid w:val="006271DA"/>
    <w:rsid w:val="00627D21"/>
    <w:rsid w:val="00630CB7"/>
    <w:rsid w:val="00630FAD"/>
    <w:rsid w:val="00641611"/>
    <w:rsid w:val="00646605"/>
    <w:rsid w:val="00646940"/>
    <w:rsid w:val="00646F02"/>
    <w:rsid w:val="006476D4"/>
    <w:rsid w:val="006548D1"/>
    <w:rsid w:val="00654E0B"/>
    <w:rsid w:val="00656C66"/>
    <w:rsid w:val="00657B66"/>
    <w:rsid w:val="00660E74"/>
    <w:rsid w:val="0066302C"/>
    <w:rsid w:val="00663285"/>
    <w:rsid w:val="0066373F"/>
    <w:rsid w:val="00663C45"/>
    <w:rsid w:val="006671C2"/>
    <w:rsid w:val="006736BE"/>
    <w:rsid w:val="006814F6"/>
    <w:rsid w:val="00682EAC"/>
    <w:rsid w:val="00683CA6"/>
    <w:rsid w:val="00683DA3"/>
    <w:rsid w:val="00687CBC"/>
    <w:rsid w:val="00692784"/>
    <w:rsid w:val="00693E6E"/>
    <w:rsid w:val="006949CF"/>
    <w:rsid w:val="006954B5"/>
    <w:rsid w:val="006965CE"/>
    <w:rsid w:val="0069668E"/>
    <w:rsid w:val="00696AF5"/>
    <w:rsid w:val="00697C27"/>
    <w:rsid w:val="006A28EC"/>
    <w:rsid w:val="006A471E"/>
    <w:rsid w:val="006A4E38"/>
    <w:rsid w:val="006B110E"/>
    <w:rsid w:val="006B739A"/>
    <w:rsid w:val="006C0158"/>
    <w:rsid w:val="006C7570"/>
    <w:rsid w:val="006D0288"/>
    <w:rsid w:val="006D0DD0"/>
    <w:rsid w:val="006D0F62"/>
    <w:rsid w:val="006D143C"/>
    <w:rsid w:val="006D2AC1"/>
    <w:rsid w:val="006D3B66"/>
    <w:rsid w:val="006D5A5A"/>
    <w:rsid w:val="006E142E"/>
    <w:rsid w:val="006E16C2"/>
    <w:rsid w:val="006E1B03"/>
    <w:rsid w:val="006E1C8B"/>
    <w:rsid w:val="006E1FD3"/>
    <w:rsid w:val="006E2584"/>
    <w:rsid w:val="006F0D45"/>
    <w:rsid w:val="006F1435"/>
    <w:rsid w:val="006F25F8"/>
    <w:rsid w:val="006F6C05"/>
    <w:rsid w:val="006F72F6"/>
    <w:rsid w:val="007019F9"/>
    <w:rsid w:val="00702288"/>
    <w:rsid w:val="007065BB"/>
    <w:rsid w:val="0071198A"/>
    <w:rsid w:val="00714D0E"/>
    <w:rsid w:val="0071717E"/>
    <w:rsid w:val="00717427"/>
    <w:rsid w:val="007217BE"/>
    <w:rsid w:val="00724629"/>
    <w:rsid w:val="007247CB"/>
    <w:rsid w:val="00726D61"/>
    <w:rsid w:val="00730D34"/>
    <w:rsid w:val="00734B42"/>
    <w:rsid w:val="007358F5"/>
    <w:rsid w:val="00736767"/>
    <w:rsid w:val="00737E46"/>
    <w:rsid w:val="007411A1"/>
    <w:rsid w:val="00746829"/>
    <w:rsid w:val="00752ED5"/>
    <w:rsid w:val="00755A45"/>
    <w:rsid w:val="00770CE0"/>
    <w:rsid w:val="007718A6"/>
    <w:rsid w:val="00771D23"/>
    <w:rsid w:val="007727F9"/>
    <w:rsid w:val="007737B7"/>
    <w:rsid w:val="00775733"/>
    <w:rsid w:val="007758E9"/>
    <w:rsid w:val="007835A0"/>
    <w:rsid w:val="00784AC3"/>
    <w:rsid w:val="00792203"/>
    <w:rsid w:val="0079424A"/>
    <w:rsid w:val="007A45B0"/>
    <w:rsid w:val="007A6ED2"/>
    <w:rsid w:val="007B1DF2"/>
    <w:rsid w:val="007B4C56"/>
    <w:rsid w:val="007B549A"/>
    <w:rsid w:val="007B676C"/>
    <w:rsid w:val="007B7B5C"/>
    <w:rsid w:val="007C0EB3"/>
    <w:rsid w:val="007C16EE"/>
    <w:rsid w:val="007C3CEA"/>
    <w:rsid w:val="007C4795"/>
    <w:rsid w:val="007C5C52"/>
    <w:rsid w:val="007C70F9"/>
    <w:rsid w:val="007D2FCD"/>
    <w:rsid w:val="007D686C"/>
    <w:rsid w:val="007E1273"/>
    <w:rsid w:val="007E138A"/>
    <w:rsid w:val="007E4A9C"/>
    <w:rsid w:val="007E5130"/>
    <w:rsid w:val="007E66C6"/>
    <w:rsid w:val="007E7B61"/>
    <w:rsid w:val="007F2A58"/>
    <w:rsid w:val="007F3535"/>
    <w:rsid w:val="007F43E7"/>
    <w:rsid w:val="007F598B"/>
    <w:rsid w:val="007F6C95"/>
    <w:rsid w:val="007F6E0C"/>
    <w:rsid w:val="007F7993"/>
    <w:rsid w:val="0080176D"/>
    <w:rsid w:val="00803E36"/>
    <w:rsid w:val="00806765"/>
    <w:rsid w:val="00806C19"/>
    <w:rsid w:val="008114D9"/>
    <w:rsid w:val="00811821"/>
    <w:rsid w:val="00814F68"/>
    <w:rsid w:val="00816C7F"/>
    <w:rsid w:val="008211AA"/>
    <w:rsid w:val="008248DE"/>
    <w:rsid w:val="008249F7"/>
    <w:rsid w:val="008254CA"/>
    <w:rsid w:val="00827A61"/>
    <w:rsid w:val="00832C9C"/>
    <w:rsid w:val="00841E6F"/>
    <w:rsid w:val="00844D1A"/>
    <w:rsid w:val="00847FDD"/>
    <w:rsid w:val="008503DA"/>
    <w:rsid w:val="00850CBE"/>
    <w:rsid w:val="0085256F"/>
    <w:rsid w:val="00855D90"/>
    <w:rsid w:val="00860D9D"/>
    <w:rsid w:val="008622B5"/>
    <w:rsid w:val="00864259"/>
    <w:rsid w:val="00867B74"/>
    <w:rsid w:val="0087345C"/>
    <w:rsid w:val="00873819"/>
    <w:rsid w:val="00876742"/>
    <w:rsid w:val="00880052"/>
    <w:rsid w:val="008876EB"/>
    <w:rsid w:val="0089037E"/>
    <w:rsid w:val="00893AF8"/>
    <w:rsid w:val="00893DF2"/>
    <w:rsid w:val="008956D6"/>
    <w:rsid w:val="008A3330"/>
    <w:rsid w:val="008A73EA"/>
    <w:rsid w:val="008B0BD1"/>
    <w:rsid w:val="008B0E10"/>
    <w:rsid w:val="008B11C5"/>
    <w:rsid w:val="008B3616"/>
    <w:rsid w:val="008B3972"/>
    <w:rsid w:val="008C1C16"/>
    <w:rsid w:val="008C3595"/>
    <w:rsid w:val="008C5FC8"/>
    <w:rsid w:val="008D214F"/>
    <w:rsid w:val="008D48A6"/>
    <w:rsid w:val="008D5B1D"/>
    <w:rsid w:val="008E0552"/>
    <w:rsid w:val="008E17E9"/>
    <w:rsid w:val="008E2C33"/>
    <w:rsid w:val="008E4660"/>
    <w:rsid w:val="008E4B04"/>
    <w:rsid w:val="008E7199"/>
    <w:rsid w:val="008F18CA"/>
    <w:rsid w:val="008F4F55"/>
    <w:rsid w:val="008F4F84"/>
    <w:rsid w:val="008F5F97"/>
    <w:rsid w:val="008F7F0A"/>
    <w:rsid w:val="00905442"/>
    <w:rsid w:val="009078F9"/>
    <w:rsid w:val="00910792"/>
    <w:rsid w:val="00910B0D"/>
    <w:rsid w:val="00913BBF"/>
    <w:rsid w:val="00914961"/>
    <w:rsid w:val="009154B9"/>
    <w:rsid w:val="0092075E"/>
    <w:rsid w:val="009322C6"/>
    <w:rsid w:val="009348CA"/>
    <w:rsid w:val="009456DC"/>
    <w:rsid w:val="0095497E"/>
    <w:rsid w:val="00954C92"/>
    <w:rsid w:val="009614B9"/>
    <w:rsid w:val="00967F6F"/>
    <w:rsid w:val="00974012"/>
    <w:rsid w:val="009742BA"/>
    <w:rsid w:val="009754EB"/>
    <w:rsid w:val="009766C8"/>
    <w:rsid w:val="009801BE"/>
    <w:rsid w:val="00981169"/>
    <w:rsid w:val="00983774"/>
    <w:rsid w:val="00983D78"/>
    <w:rsid w:val="0099471A"/>
    <w:rsid w:val="00994CAA"/>
    <w:rsid w:val="009B04D0"/>
    <w:rsid w:val="009B1403"/>
    <w:rsid w:val="009B5196"/>
    <w:rsid w:val="009B6A26"/>
    <w:rsid w:val="009C4A7F"/>
    <w:rsid w:val="009C4C2C"/>
    <w:rsid w:val="009C6F43"/>
    <w:rsid w:val="009D49E8"/>
    <w:rsid w:val="009D5E72"/>
    <w:rsid w:val="009D7484"/>
    <w:rsid w:val="009E1B44"/>
    <w:rsid w:val="009E31FF"/>
    <w:rsid w:val="009E76D4"/>
    <w:rsid w:val="009E7BCA"/>
    <w:rsid w:val="009F2726"/>
    <w:rsid w:val="009F2E27"/>
    <w:rsid w:val="00A04416"/>
    <w:rsid w:val="00A04618"/>
    <w:rsid w:val="00A04663"/>
    <w:rsid w:val="00A0696A"/>
    <w:rsid w:val="00A140BA"/>
    <w:rsid w:val="00A15161"/>
    <w:rsid w:val="00A24CB6"/>
    <w:rsid w:val="00A27458"/>
    <w:rsid w:val="00A30118"/>
    <w:rsid w:val="00A302B2"/>
    <w:rsid w:val="00A31451"/>
    <w:rsid w:val="00A3147D"/>
    <w:rsid w:val="00A323FF"/>
    <w:rsid w:val="00A342A9"/>
    <w:rsid w:val="00A35BB3"/>
    <w:rsid w:val="00A40F10"/>
    <w:rsid w:val="00A43712"/>
    <w:rsid w:val="00A43E91"/>
    <w:rsid w:val="00A444BE"/>
    <w:rsid w:val="00A4450C"/>
    <w:rsid w:val="00A44A4B"/>
    <w:rsid w:val="00A44D0B"/>
    <w:rsid w:val="00A45BA3"/>
    <w:rsid w:val="00A50579"/>
    <w:rsid w:val="00A50918"/>
    <w:rsid w:val="00A512CC"/>
    <w:rsid w:val="00A52744"/>
    <w:rsid w:val="00A552E1"/>
    <w:rsid w:val="00A5555B"/>
    <w:rsid w:val="00A57FE5"/>
    <w:rsid w:val="00A60336"/>
    <w:rsid w:val="00A60FBD"/>
    <w:rsid w:val="00A61BD2"/>
    <w:rsid w:val="00A63FBC"/>
    <w:rsid w:val="00A64550"/>
    <w:rsid w:val="00A70BEF"/>
    <w:rsid w:val="00A73827"/>
    <w:rsid w:val="00A7409D"/>
    <w:rsid w:val="00A7574B"/>
    <w:rsid w:val="00A81D6C"/>
    <w:rsid w:val="00A87005"/>
    <w:rsid w:val="00A87C53"/>
    <w:rsid w:val="00A9213D"/>
    <w:rsid w:val="00A93BD1"/>
    <w:rsid w:val="00A974CF"/>
    <w:rsid w:val="00AA02BF"/>
    <w:rsid w:val="00AA040F"/>
    <w:rsid w:val="00AA168C"/>
    <w:rsid w:val="00AA18A4"/>
    <w:rsid w:val="00AA42A6"/>
    <w:rsid w:val="00AB188A"/>
    <w:rsid w:val="00AB1BFE"/>
    <w:rsid w:val="00AB26C6"/>
    <w:rsid w:val="00AB41D6"/>
    <w:rsid w:val="00AB46E3"/>
    <w:rsid w:val="00AB4EFB"/>
    <w:rsid w:val="00AB5BE3"/>
    <w:rsid w:val="00AB75C7"/>
    <w:rsid w:val="00AB7AF5"/>
    <w:rsid w:val="00AB7B3C"/>
    <w:rsid w:val="00AC1323"/>
    <w:rsid w:val="00AC15C0"/>
    <w:rsid w:val="00AC3F46"/>
    <w:rsid w:val="00AC452E"/>
    <w:rsid w:val="00AC76F7"/>
    <w:rsid w:val="00AD1101"/>
    <w:rsid w:val="00AD6716"/>
    <w:rsid w:val="00AD7334"/>
    <w:rsid w:val="00AE0336"/>
    <w:rsid w:val="00AE1592"/>
    <w:rsid w:val="00AF2850"/>
    <w:rsid w:val="00AF3152"/>
    <w:rsid w:val="00B01025"/>
    <w:rsid w:val="00B03B16"/>
    <w:rsid w:val="00B0409B"/>
    <w:rsid w:val="00B04B0E"/>
    <w:rsid w:val="00B060EA"/>
    <w:rsid w:val="00B06714"/>
    <w:rsid w:val="00B068C2"/>
    <w:rsid w:val="00B0738F"/>
    <w:rsid w:val="00B075BA"/>
    <w:rsid w:val="00B118D6"/>
    <w:rsid w:val="00B127F2"/>
    <w:rsid w:val="00B128D3"/>
    <w:rsid w:val="00B13832"/>
    <w:rsid w:val="00B15957"/>
    <w:rsid w:val="00B20175"/>
    <w:rsid w:val="00B2173D"/>
    <w:rsid w:val="00B21BD2"/>
    <w:rsid w:val="00B21C3F"/>
    <w:rsid w:val="00B223C6"/>
    <w:rsid w:val="00B223E2"/>
    <w:rsid w:val="00B25C7C"/>
    <w:rsid w:val="00B323F5"/>
    <w:rsid w:val="00B32512"/>
    <w:rsid w:val="00B33615"/>
    <w:rsid w:val="00B3408C"/>
    <w:rsid w:val="00B36096"/>
    <w:rsid w:val="00B36529"/>
    <w:rsid w:val="00B41467"/>
    <w:rsid w:val="00B42F90"/>
    <w:rsid w:val="00B46CBA"/>
    <w:rsid w:val="00B606FD"/>
    <w:rsid w:val="00B62530"/>
    <w:rsid w:val="00B66643"/>
    <w:rsid w:val="00B71434"/>
    <w:rsid w:val="00B71BC6"/>
    <w:rsid w:val="00B779E1"/>
    <w:rsid w:val="00B819F4"/>
    <w:rsid w:val="00B84F2D"/>
    <w:rsid w:val="00B85FAA"/>
    <w:rsid w:val="00B93D2E"/>
    <w:rsid w:val="00B96343"/>
    <w:rsid w:val="00B96914"/>
    <w:rsid w:val="00BA1F30"/>
    <w:rsid w:val="00BA356C"/>
    <w:rsid w:val="00BA46A5"/>
    <w:rsid w:val="00BA5D32"/>
    <w:rsid w:val="00BA65AB"/>
    <w:rsid w:val="00BB0790"/>
    <w:rsid w:val="00BB7C84"/>
    <w:rsid w:val="00BC2A9F"/>
    <w:rsid w:val="00BC4E10"/>
    <w:rsid w:val="00BD14BB"/>
    <w:rsid w:val="00BD556B"/>
    <w:rsid w:val="00BE3840"/>
    <w:rsid w:val="00BE4419"/>
    <w:rsid w:val="00BE442A"/>
    <w:rsid w:val="00BE4434"/>
    <w:rsid w:val="00BE6E7A"/>
    <w:rsid w:val="00BF56E3"/>
    <w:rsid w:val="00C00E9F"/>
    <w:rsid w:val="00C01264"/>
    <w:rsid w:val="00C01A15"/>
    <w:rsid w:val="00C05D8F"/>
    <w:rsid w:val="00C17354"/>
    <w:rsid w:val="00C201C9"/>
    <w:rsid w:val="00C205F9"/>
    <w:rsid w:val="00C2205E"/>
    <w:rsid w:val="00C30503"/>
    <w:rsid w:val="00C32B25"/>
    <w:rsid w:val="00C340BB"/>
    <w:rsid w:val="00C417D7"/>
    <w:rsid w:val="00C422E2"/>
    <w:rsid w:val="00C42C7A"/>
    <w:rsid w:val="00C42DE8"/>
    <w:rsid w:val="00C44628"/>
    <w:rsid w:val="00C45B35"/>
    <w:rsid w:val="00C466D2"/>
    <w:rsid w:val="00C51957"/>
    <w:rsid w:val="00C53390"/>
    <w:rsid w:val="00C53A3F"/>
    <w:rsid w:val="00C55857"/>
    <w:rsid w:val="00C56816"/>
    <w:rsid w:val="00C56A34"/>
    <w:rsid w:val="00C6049A"/>
    <w:rsid w:val="00C66AF0"/>
    <w:rsid w:val="00C727E6"/>
    <w:rsid w:val="00C76AD0"/>
    <w:rsid w:val="00C80862"/>
    <w:rsid w:val="00C8129D"/>
    <w:rsid w:val="00C8241E"/>
    <w:rsid w:val="00C82CCE"/>
    <w:rsid w:val="00C9030E"/>
    <w:rsid w:val="00C903F6"/>
    <w:rsid w:val="00C92325"/>
    <w:rsid w:val="00C96AFA"/>
    <w:rsid w:val="00C97A54"/>
    <w:rsid w:val="00CA0C69"/>
    <w:rsid w:val="00CA2FA0"/>
    <w:rsid w:val="00CA4B24"/>
    <w:rsid w:val="00CB0490"/>
    <w:rsid w:val="00CB0ABF"/>
    <w:rsid w:val="00CB0F9C"/>
    <w:rsid w:val="00CB4124"/>
    <w:rsid w:val="00CB4560"/>
    <w:rsid w:val="00CB5F4D"/>
    <w:rsid w:val="00CB7C5B"/>
    <w:rsid w:val="00CC18A0"/>
    <w:rsid w:val="00CC73D5"/>
    <w:rsid w:val="00CD33A4"/>
    <w:rsid w:val="00CD3B19"/>
    <w:rsid w:val="00CD447E"/>
    <w:rsid w:val="00CD79DA"/>
    <w:rsid w:val="00CD7CDB"/>
    <w:rsid w:val="00CE17C3"/>
    <w:rsid w:val="00CE661E"/>
    <w:rsid w:val="00CE6686"/>
    <w:rsid w:val="00CF04E5"/>
    <w:rsid w:val="00CF6027"/>
    <w:rsid w:val="00CF7584"/>
    <w:rsid w:val="00CF76BC"/>
    <w:rsid w:val="00CF7D95"/>
    <w:rsid w:val="00D00024"/>
    <w:rsid w:val="00D028E3"/>
    <w:rsid w:val="00D03617"/>
    <w:rsid w:val="00D07F9D"/>
    <w:rsid w:val="00D10166"/>
    <w:rsid w:val="00D13E12"/>
    <w:rsid w:val="00D17BDE"/>
    <w:rsid w:val="00D20B2D"/>
    <w:rsid w:val="00D22B72"/>
    <w:rsid w:val="00D260A5"/>
    <w:rsid w:val="00D26A15"/>
    <w:rsid w:val="00D41EDE"/>
    <w:rsid w:val="00D42E42"/>
    <w:rsid w:val="00D43703"/>
    <w:rsid w:val="00D440ED"/>
    <w:rsid w:val="00D47DC0"/>
    <w:rsid w:val="00D53909"/>
    <w:rsid w:val="00D603A1"/>
    <w:rsid w:val="00D6063A"/>
    <w:rsid w:val="00D60FA9"/>
    <w:rsid w:val="00D63BD3"/>
    <w:rsid w:val="00D64668"/>
    <w:rsid w:val="00D649F2"/>
    <w:rsid w:val="00D73F3B"/>
    <w:rsid w:val="00D75668"/>
    <w:rsid w:val="00D770E7"/>
    <w:rsid w:val="00D83CCB"/>
    <w:rsid w:val="00D853C9"/>
    <w:rsid w:val="00D87383"/>
    <w:rsid w:val="00D903AB"/>
    <w:rsid w:val="00D917CF"/>
    <w:rsid w:val="00D92619"/>
    <w:rsid w:val="00D95AA7"/>
    <w:rsid w:val="00DA04E0"/>
    <w:rsid w:val="00DA083E"/>
    <w:rsid w:val="00DA2431"/>
    <w:rsid w:val="00DA55CB"/>
    <w:rsid w:val="00DA6923"/>
    <w:rsid w:val="00DA7284"/>
    <w:rsid w:val="00DB1F60"/>
    <w:rsid w:val="00DB2B9F"/>
    <w:rsid w:val="00DB5E7B"/>
    <w:rsid w:val="00DB7E65"/>
    <w:rsid w:val="00DC078A"/>
    <w:rsid w:val="00DC3568"/>
    <w:rsid w:val="00DC3F63"/>
    <w:rsid w:val="00DC4542"/>
    <w:rsid w:val="00DC6539"/>
    <w:rsid w:val="00DC7FCA"/>
    <w:rsid w:val="00DD11BE"/>
    <w:rsid w:val="00DD3C9D"/>
    <w:rsid w:val="00DD6F0B"/>
    <w:rsid w:val="00DD7CB7"/>
    <w:rsid w:val="00DE0777"/>
    <w:rsid w:val="00DE54BA"/>
    <w:rsid w:val="00DE794A"/>
    <w:rsid w:val="00DF0055"/>
    <w:rsid w:val="00DF0DED"/>
    <w:rsid w:val="00DF1A51"/>
    <w:rsid w:val="00DF2805"/>
    <w:rsid w:val="00DF5D90"/>
    <w:rsid w:val="00E10857"/>
    <w:rsid w:val="00E12016"/>
    <w:rsid w:val="00E153FC"/>
    <w:rsid w:val="00E17ADD"/>
    <w:rsid w:val="00E2100B"/>
    <w:rsid w:val="00E22700"/>
    <w:rsid w:val="00E27DA2"/>
    <w:rsid w:val="00E36120"/>
    <w:rsid w:val="00E42663"/>
    <w:rsid w:val="00E43A09"/>
    <w:rsid w:val="00E47122"/>
    <w:rsid w:val="00E47A83"/>
    <w:rsid w:val="00E53FC9"/>
    <w:rsid w:val="00E554B2"/>
    <w:rsid w:val="00E56342"/>
    <w:rsid w:val="00E570CB"/>
    <w:rsid w:val="00E57737"/>
    <w:rsid w:val="00E6056B"/>
    <w:rsid w:val="00E62822"/>
    <w:rsid w:val="00E63A96"/>
    <w:rsid w:val="00E64D8B"/>
    <w:rsid w:val="00E65550"/>
    <w:rsid w:val="00E667D7"/>
    <w:rsid w:val="00E722D8"/>
    <w:rsid w:val="00E76A99"/>
    <w:rsid w:val="00E811A2"/>
    <w:rsid w:val="00E818DD"/>
    <w:rsid w:val="00E84500"/>
    <w:rsid w:val="00E86CAF"/>
    <w:rsid w:val="00E9028F"/>
    <w:rsid w:val="00E9795D"/>
    <w:rsid w:val="00EA7F57"/>
    <w:rsid w:val="00EB321E"/>
    <w:rsid w:val="00EB4460"/>
    <w:rsid w:val="00EB6E29"/>
    <w:rsid w:val="00EB77CA"/>
    <w:rsid w:val="00EC0046"/>
    <w:rsid w:val="00EC435A"/>
    <w:rsid w:val="00EC62DD"/>
    <w:rsid w:val="00EC6D51"/>
    <w:rsid w:val="00ED5B18"/>
    <w:rsid w:val="00ED6EA5"/>
    <w:rsid w:val="00ED7D91"/>
    <w:rsid w:val="00EE3164"/>
    <w:rsid w:val="00EF2323"/>
    <w:rsid w:val="00EF308C"/>
    <w:rsid w:val="00F0551D"/>
    <w:rsid w:val="00F06780"/>
    <w:rsid w:val="00F073D7"/>
    <w:rsid w:val="00F075DE"/>
    <w:rsid w:val="00F10DE7"/>
    <w:rsid w:val="00F10E13"/>
    <w:rsid w:val="00F11003"/>
    <w:rsid w:val="00F123FC"/>
    <w:rsid w:val="00F16883"/>
    <w:rsid w:val="00F16AC7"/>
    <w:rsid w:val="00F23193"/>
    <w:rsid w:val="00F231DD"/>
    <w:rsid w:val="00F24B08"/>
    <w:rsid w:val="00F2594A"/>
    <w:rsid w:val="00F2776B"/>
    <w:rsid w:val="00F3038B"/>
    <w:rsid w:val="00F3041E"/>
    <w:rsid w:val="00F32372"/>
    <w:rsid w:val="00F35494"/>
    <w:rsid w:val="00F35B81"/>
    <w:rsid w:val="00F364D2"/>
    <w:rsid w:val="00F40031"/>
    <w:rsid w:val="00F40B0D"/>
    <w:rsid w:val="00F413AC"/>
    <w:rsid w:val="00F42108"/>
    <w:rsid w:val="00F4376F"/>
    <w:rsid w:val="00F53FD2"/>
    <w:rsid w:val="00F54201"/>
    <w:rsid w:val="00F60CDB"/>
    <w:rsid w:val="00F72CA9"/>
    <w:rsid w:val="00F73D8D"/>
    <w:rsid w:val="00F7683F"/>
    <w:rsid w:val="00F80CD2"/>
    <w:rsid w:val="00F82A05"/>
    <w:rsid w:val="00F84C7D"/>
    <w:rsid w:val="00F84D0A"/>
    <w:rsid w:val="00F85BBD"/>
    <w:rsid w:val="00F85FD9"/>
    <w:rsid w:val="00F90835"/>
    <w:rsid w:val="00F942B1"/>
    <w:rsid w:val="00F9568B"/>
    <w:rsid w:val="00F95D8D"/>
    <w:rsid w:val="00F975E2"/>
    <w:rsid w:val="00FA01B4"/>
    <w:rsid w:val="00FA2058"/>
    <w:rsid w:val="00FA2A2E"/>
    <w:rsid w:val="00FA3136"/>
    <w:rsid w:val="00FA393F"/>
    <w:rsid w:val="00FA5F66"/>
    <w:rsid w:val="00FA6D38"/>
    <w:rsid w:val="00FB131D"/>
    <w:rsid w:val="00FB4331"/>
    <w:rsid w:val="00FB514A"/>
    <w:rsid w:val="00FB6571"/>
    <w:rsid w:val="00FC1676"/>
    <w:rsid w:val="00FC30A6"/>
    <w:rsid w:val="00FC36A6"/>
    <w:rsid w:val="00FC5B09"/>
    <w:rsid w:val="00FC7870"/>
    <w:rsid w:val="00FD1177"/>
    <w:rsid w:val="00FD2729"/>
    <w:rsid w:val="00FD2776"/>
    <w:rsid w:val="00FD45D6"/>
    <w:rsid w:val="00FE0B6F"/>
    <w:rsid w:val="00FE0F74"/>
    <w:rsid w:val="00FE12F4"/>
    <w:rsid w:val="00FE2747"/>
    <w:rsid w:val="00FE331E"/>
    <w:rsid w:val="01057174"/>
    <w:rsid w:val="010C5BFF"/>
    <w:rsid w:val="011C6007"/>
    <w:rsid w:val="0135540E"/>
    <w:rsid w:val="014875F3"/>
    <w:rsid w:val="0160084E"/>
    <w:rsid w:val="017645A1"/>
    <w:rsid w:val="01777480"/>
    <w:rsid w:val="02186A33"/>
    <w:rsid w:val="024E4E15"/>
    <w:rsid w:val="029156B6"/>
    <w:rsid w:val="02B97130"/>
    <w:rsid w:val="02E45A44"/>
    <w:rsid w:val="03045209"/>
    <w:rsid w:val="03106419"/>
    <w:rsid w:val="03361E7B"/>
    <w:rsid w:val="036D5831"/>
    <w:rsid w:val="0390493D"/>
    <w:rsid w:val="03AC6F5C"/>
    <w:rsid w:val="04054C3A"/>
    <w:rsid w:val="04222AFB"/>
    <w:rsid w:val="043638F3"/>
    <w:rsid w:val="044C0C16"/>
    <w:rsid w:val="0462668B"/>
    <w:rsid w:val="046C12B8"/>
    <w:rsid w:val="047166E6"/>
    <w:rsid w:val="047F3D3A"/>
    <w:rsid w:val="04803182"/>
    <w:rsid w:val="04CB08A9"/>
    <w:rsid w:val="04CE216C"/>
    <w:rsid w:val="052365CA"/>
    <w:rsid w:val="05496731"/>
    <w:rsid w:val="05606B00"/>
    <w:rsid w:val="056853EB"/>
    <w:rsid w:val="05862723"/>
    <w:rsid w:val="05AA2098"/>
    <w:rsid w:val="05C140A7"/>
    <w:rsid w:val="064B198A"/>
    <w:rsid w:val="06651E8A"/>
    <w:rsid w:val="06696EC8"/>
    <w:rsid w:val="067419EC"/>
    <w:rsid w:val="069126D8"/>
    <w:rsid w:val="06AC1E40"/>
    <w:rsid w:val="06B91139"/>
    <w:rsid w:val="06E24850"/>
    <w:rsid w:val="07163DED"/>
    <w:rsid w:val="072969FE"/>
    <w:rsid w:val="072D161D"/>
    <w:rsid w:val="07652B2E"/>
    <w:rsid w:val="078C4E56"/>
    <w:rsid w:val="079E7590"/>
    <w:rsid w:val="07A151A1"/>
    <w:rsid w:val="07AC659B"/>
    <w:rsid w:val="07B025CB"/>
    <w:rsid w:val="07D47BD7"/>
    <w:rsid w:val="07E43E0F"/>
    <w:rsid w:val="07FE2B6F"/>
    <w:rsid w:val="082E0926"/>
    <w:rsid w:val="089F5554"/>
    <w:rsid w:val="08B55590"/>
    <w:rsid w:val="08D35DAA"/>
    <w:rsid w:val="08FD14A4"/>
    <w:rsid w:val="09145E20"/>
    <w:rsid w:val="092906CB"/>
    <w:rsid w:val="094238D7"/>
    <w:rsid w:val="096B30C5"/>
    <w:rsid w:val="097C67B2"/>
    <w:rsid w:val="09834E50"/>
    <w:rsid w:val="09CD1234"/>
    <w:rsid w:val="09EC2489"/>
    <w:rsid w:val="0A1758F8"/>
    <w:rsid w:val="0A1D11C9"/>
    <w:rsid w:val="0A491B1C"/>
    <w:rsid w:val="0A5151D8"/>
    <w:rsid w:val="0A731F71"/>
    <w:rsid w:val="0A812873"/>
    <w:rsid w:val="0A9071BF"/>
    <w:rsid w:val="0AB55898"/>
    <w:rsid w:val="0AB94B2B"/>
    <w:rsid w:val="0AD661BD"/>
    <w:rsid w:val="0B14644B"/>
    <w:rsid w:val="0B1A1E5F"/>
    <w:rsid w:val="0B374F72"/>
    <w:rsid w:val="0B4608E6"/>
    <w:rsid w:val="0B611559"/>
    <w:rsid w:val="0B6727D9"/>
    <w:rsid w:val="0B7261AE"/>
    <w:rsid w:val="0B837613"/>
    <w:rsid w:val="0B9C7D1B"/>
    <w:rsid w:val="0B9E54C4"/>
    <w:rsid w:val="0BE65DF4"/>
    <w:rsid w:val="0C0D69BD"/>
    <w:rsid w:val="0C161BEF"/>
    <w:rsid w:val="0C1B4618"/>
    <w:rsid w:val="0C7046DA"/>
    <w:rsid w:val="0C741D80"/>
    <w:rsid w:val="0C7467C9"/>
    <w:rsid w:val="0C8C0749"/>
    <w:rsid w:val="0C8C46E5"/>
    <w:rsid w:val="0C913FB2"/>
    <w:rsid w:val="0CA03DBB"/>
    <w:rsid w:val="0CAB7B7B"/>
    <w:rsid w:val="0CB8251F"/>
    <w:rsid w:val="0CC7491F"/>
    <w:rsid w:val="0CC779D3"/>
    <w:rsid w:val="0CCE0D62"/>
    <w:rsid w:val="0D13485A"/>
    <w:rsid w:val="0D19509A"/>
    <w:rsid w:val="0D1A0374"/>
    <w:rsid w:val="0D1F3BB8"/>
    <w:rsid w:val="0D214D94"/>
    <w:rsid w:val="0D2C6B91"/>
    <w:rsid w:val="0D471EFE"/>
    <w:rsid w:val="0D52494E"/>
    <w:rsid w:val="0D591077"/>
    <w:rsid w:val="0D5A407A"/>
    <w:rsid w:val="0D5C636E"/>
    <w:rsid w:val="0D6516C2"/>
    <w:rsid w:val="0D7068E3"/>
    <w:rsid w:val="0D994E92"/>
    <w:rsid w:val="0DA5333A"/>
    <w:rsid w:val="0DBC31CA"/>
    <w:rsid w:val="0DC3019B"/>
    <w:rsid w:val="0DD070F9"/>
    <w:rsid w:val="0DEC4984"/>
    <w:rsid w:val="0E117668"/>
    <w:rsid w:val="0E125DCD"/>
    <w:rsid w:val="0E487DEC"/>
    <w:rsid w:val="0E4E6E8B"/>
    <w:rsid w:val="0E4F6ABA"/>
    <w:rsid w:val="0E7A0F33"/>
    <w:rsid w:val="0E8213BD"/>
    <w:rsid w:val="0EAC4082"/>
    <w:rsid w:val="0EC25A7C"/>
    <w:rsid w:val="0EC776B0"/>
    <w:rsid w:val="0EC85E81"/>
    <w:rsid w:val="0ED6424F"/>
    <w:rsid w:val="0EDC1223"/>
    <w:rsid w:val="0EE25E7E"/>
    <w:rsid w:val="0EE4486D"/>
    <w:rsid w:val="0EF273AC"/>
    <w:rsid w:val="0F0C4F17"/>
    <w:rsid w:val="0F4C4DC9"/>
    <w:rsid w:val="0F62509F"/>
    <w:rsid w:val="0F7B2791"/>
    <w:rsid w:val="0F8611CB"/>
    <w:rsid w:val="0FB91D21"/>
    <w:rsid w:val="0FBD2D54"/>
    <w:rsid w:val="0FEF000C"/>
    <w:rsid w:val="0FFD6EE8"/>
    <w:rsid w:val="10677673"/>
    <w:rsid w:val="10782972"/>
    <w:rsid w:val="107F11FE"/>
    <w:rsid w:val="10943BE2"/>
    <w:rsid w:val="112F4FB5"/>
    <w:rsid w:val="113C0D99"/>
    <w:rsid w:val="11447C61"/>
    <w:rsid w:val="114F051E"/>
    <w:rsid w:val="11723672"/>
    <w:rsid w:val="11A025A1"/>
    <w:rsid w:val="11CE1040"/>
    <w:rsid w:val="1216614E"/>
    <w:rsid w:val="12301A2A"/>
    <w:rsid w:val="12354240"/>
    <w:rsid w:val="1238179E"/>
    <w:rsid w:val="12436A9C"/>
    <w:rsid w:val="1246356C"/>
    <w:rsid w:val="1270050B"/>
    <w:rsid w:val="12751B7F"/>
    <w:rsid w:val="12AE7E14"/>
    <w:rsid w:val="12C52F26"/>
    <w:rsid w:val="13064EB3"/>
    <w:rsid w:val="130A6417"/>
    <w:rsid w:val="13694FA9"/>
    <w:rsid w:val="136A38C3"/>
    <w:rsid w:val="13710227"/>
    <w:rsid w:val="138E247A"/>
    <w:rsid w:val="13AB62CF"/>
    <w:rsid w:val="13C67F8A"/>
    <w:rsid w:val="13CC4748"/>
    <w:rsid w:val="13D00E45"/>
    <w:rsid w:val="13D413F0"/>
    <w:rsid w:val="13ED1B9F"/>
    <w:rsid w:val="13EE6202"/>
    <w:rsid w:val="13F76A0A"/>
    <w:rsid w:val="13FA68E0"/>
    <w:rsid w:val="13FD1F2D"/>
    <w:rsid w:val="141F6D03"/>
    <w:rsid w:val="14215C1B"/>
    <w:rsid w:val="1443707B"/>
    <w:rsid w:val="14643D5A"/>
    <w:rsid w:val="148408D9"/>
    <w:rsid w:val="14904B4F"/>
    <w:rsid w:val="149A600E"/>
    <w:rsid w:val="14A012B5"/>
    <w:rsid w:val="14B62CD1"/>
    <w:rsid w:val="14C92D69"/>
    <w:rsid w:val="14D2015E"/>
    <w:rsid w:val="14F23AB5"/>
    <w:rsid w:val="15031895"/>
    <w:rsid w:val="15035839"/>
    <w:rsid w:val="150B37C6"/>
    <w:rsid w:val="152C6A42"/>
    <w:rsid w:val="15341976"/>
    <w:rsid w:val="153C7384"/>
    <w:rsid w:val="15BC4477"/>
    <w:rsid w:val="15D17CCF"/>
    <w:rsid w:val="15EF7204"/>
    <w:rsid w:val="15FA6724"/>
    <w:rsid w:val="1600632F"/>
    <w:rsid w:val="16287E60"/>
    <w:rsid w:val="165F2903"/>
    <w:rsid w:val="16BB7789"/>
    <w:rsid w:val="16CF2D36"/>
    <w:rsid w:val="16F52A05"/>
    <w:rsid w:val="172713C0"/>
    <w:rsid w:val="17515C04"/>
    <w:rsid w:val="17725269"/>
    <w:rsid w:val="17810C39"/>
    <w:rsid w:val="17872239"/>
    <w:rsid w:val="17890EEF"/>
    <w:rsid w:val="179B2121"/>
    <w:rsid w:val="17AE6777"/>
    <w:rsid w:val="17B96322"/>
    <w:rsid w:val="17C7410F"/>
    <w:rsid w:val="18057602"/>
    <w:rsid w:val="18292A8F"/>
    <w:rsid w:val="1849624F"/>
    <w:rsid w:val="189D4266"/>
    <w:rsid w:val="18BF46B8"/>
    <w:rsid w:val="18C02438"/>
    <w:rsid w:val="18C96881"/>
    <w:rsid w:val="18CE272B"/>
    <w:rsid w:val="18D35066"/>
    <w:rsid w:val="18E0477D"/>
    <w:rsid w:val="18F9519E"/>
    <w:rsid w:val="1925050E"/>
    <w:rsid w:val="195B16E0"/>
    <w:rsid w:val="197D21A2"/>
    <w:rsid w:val="19937811"/>
    <w:rsid w:val="19A215AC"/>
    <w:rsid w:val="19AF2801"/>
    <w:rsid w:val="19B76458"/>
    <w:rsid w:val="19BD2833"/>
    <w:rsid w:val="19E3080C"/>
    <w:rsid w:val="19FB7FD8"/>
    <w:rsid w:val="1A0933D9"/>
    <w:rsid w:val="1A642CA0"/>
    <w:rsid w:val="1A6874F7"/>
    <w:rsid w:val="1A6E69D2"/>
    <w:rsid w:val="1AA07CC7"/>
    <w:rsid w:val="1AB201CC"/>
    <w:rsid w:val="1AB2537E"/>
    <w:rsid w:val="1AE91480"/>
    <w:rsid w:val="1AED7090"/>
    <w:rsid w:val="1B116B96"/>
    <w:rsid w:val="1B3A718D"/>
    <w:rsid w:val="1B3B32B9"/>
    <w:rsid w:val="1BC53507"/>
    <w:rsid w:val="1BD96DDB"/>
    <w:rsid w:val="1BE550A1"/>
    <w:rsid w:val="1BF9747E"/>
    <w:rsid w:val="1C1868A7"/>
    <w:rsid w:val="1C454471"/>
    <w:rsid w:val="1C4A7BE8"/>
    <w:rsid w:val="1C9C6787"/>
    <w:rsid w:val="1C9F6277"/>
    <w:rsid w:val="1CC300FB"/>
    <w:rsid w:val="1CE17267"/>
    <w:rsid w:val="1D397ADD"/>
    <w:rsid w:val="1D6066CA"/>
    <w:rsid w:val="1D846737"/>
    <w:rsid w:val="1D96768D"/>
    <w:rsid w:val="1DBA77BE"/>
    <w:rsid w:val="1DC74CE9"/>
    <w:rsid w:val="1DE877AA"/>
    <w:rsid w:val="1DE87D18"/>
    <w:rsid w:val="1DEF42DF"/>
    <w:rsid w:val="1DF64513"/>
    <w:rsid w:val="1E3704B8"/>
    <w:rsid w:val="1E37428D"/>
    <w:rsid w:val="1E713F8B"/>
    <w:rsid w:val="1E79153D"/>
    <w:rsid w:val="1E7E69CD"/>
    <w:rsid w:val="1E846AB9"/>
    <w:rsid w:val="1F3438B0"/>
    <w:rsid w:val="1F75196A"/>
    <w:rsid w:val="1F9B6D2D"/>
    <w:rsid w:val="1FB82826"/>
    <w:rsid w:val="1FCF0825"/>
    <w:rsid w:val="1FE741BD"/>
    <w:rsid w:val="1FF07652"/>
    <w:rsid w:val="1FFB1928"/>
    <w:rsid w:val="201C373B"/>
    <w:rsid w:val="20596547"/>
    <w:rsid w:val="205C7FDB"/>
    <w:rsid w:val="20662040"/>
    <w:rsid w:val="206E6068"/>
    <w:rsid w:val="209D0D1F"/>
    <w:rsid w:val="20A2033F"/>
    <w:rsid w:val="20AB1D73"/>
    <w:rsid w:val="20B123A6"/>
    <w:rsid w:val="20BF4CFE"/>
    <w:rsid w:val="20E93AD9"/>
    <w:rsid w:val="21310F56"/>
    <w:rsid w:val="21467C8A"/>
    <w:rsid w:val="215E7ADC"/>
    <w:rsid w:val="21767E66"/>
    <w:rsid w:val="2183216F"/>
    <w:rsid w:val="21906843"/>
    <w:rsid w:val="21917BA2"/>
    <w:rsid w:val="21AD4F92"/>
    <w:rsid w:val="21B93937"/>
    <w:rsid w:val="21D2742D"/>
    <w:rsid w:val="21DD6382"/>
    <w:rsid w:val="221834B5"/>
    <w:rsid w:val="226715E5"/>
    <w:rsid w:val="226903DF"/>
    <w:rsid w:val="22851FD8"/>
    <w:rsid w:val="2294672A"/>
    <w:rsid w:val="22CB31E9"/>
    <w:rsid w:val="22E06385"/>
    <w:rsid w:val="23046E34"/>
    <w:rsid w:val="235F314C"/>
    <w:rsid w:val="237331D3"/>
    <w:rsid w:val="237D4B3E"/>
    <w:rsid w:val="238A08BD"/>
    <w:rsid w:val="23986414"/>
    <w:rsid w:val="23D42DE1"/>
    <w:rsid w:val="23D565E1"/>
    <w:rsid w:val="23EB7068"/>
    <w:rsid w:val="23FC5D5D"/>
    <w:rsid w:val="241B7E71"/>
    <w:rsid w:val="24394B0B"/>
    <w:rsid w:val="24537915"/>
    <w:rsid w:val="247973AD"/>
    <w:rsid w:val="24B641A0"/>
    <w:rsid w:val="24BA76A2"/>
    <w:rsid w:val="24F82919"/>
    <w:rsid w:val="25156496"/>
    <w:rsid w:val="252D5E7C"/>
    <w:rsid w:val="25367859"/>
    <w:rsid w:val="25472F1A"/>
    <w:rsid w:val="25564F59"/>
    <w:rsid w:val="25775623"/>
    <w:rsid w:val="259D2A6F"/>
    <w:rsid w:val="259D531E"/>
    <w:rsid w:val="25A20D12"/>
    <w:rsid w:val="25A246E2"/>
    <w:rsid w:val="25BE0D58"/>
    <w:rsid w:val="25D162B8"/>
    <w:rsid w:val="25E246BE"/>
    <w:rsid w:val="25F11088"/>
    <w:rsid w:val="261F5D33"/>
    <w:rsid w:val="263C68E5"/>
    <w:rsid w:val="267101C6"/>
    <w:rsid w:val="267442D0"/>
    <w:rsid w:val="26C138FA"/>
    <w:rsid w:val="26E06790"/>
    <w:rsid w:val="26EF1734"/>
    <w:rsid w:val="27026587"/>
    <w:rsid w:val="27206206"/>
    <w:rsid w:val="276A7703"/>
    <w:rsid w:val="27A504B9"/>
    <w:rsid w:val="27BB26E4"/>
    <w:rsid w:val="27BE23AF"/>
    <w:rsid w:val="27C748D4"/>
    <w:rsid w:val="27D8263D"/>
    <w:rsid w:val="27EA7814"/>
    <w:rsid w:val="27FF0244"/>
    <w:rsid w:val="280203F5"/>
    <w:rsid w:val="28147AD2"/>
    <w:rsid w:val="281828B0"/>
    <w:rsid w:val="281D55C8"/>
    <w:rsid w:val="28401C27"/>
    <w:rsid w:val="28B3203C"/>
    <w:rsid w:val="28D27E76"/>
    <w:rsid w:val="28D9034D"/>
    <w:rsid w:val="28EE53FD"/>
    <w:rsid w:val="29626123"/>
    <w:rsid w:val="297F65C0"/>
    <w:rsid w:val="29905E8C"/>
    <w:rsid w:val="299A7E41"/>
    <w:rsid w:val="29B07D9B"/>
    <w:rsid w:val="29B73C68"/>
    <w:rsid w:val="29CC61D1"/>
    <w:rsid w:val="29FB02E7"/>
    <w:rsid w:val="2A1F6884"/>
    <w:rsid w:val="2A374F4B"/>
    <w:rsid w:val="2A3B2255"/>
    <w:rsid w:val="2A3E0E3B"/>
    <w:rsid w:val="2A540366"/>
    <w:rsid w:val="2A56266C"/>
    <w:rsid w:val="2A7E5B60"/>
    <w:rsid w:val="2A8554E4"/>
    <w:rsid w:val="2AA8279A"/>
    <w:rsid w:val="2AC71781"/>
    <w:rsid w:val="2ACB398D"/>
    <w:rsid w:val="2B0D0ABF"/>
    <w:rsid w:val="2B130017"/>
    <w:rsid w:val="2B2D0668"/>
    <w:rsid w:val="2B48665F"/>
    <w:rsid w:val="2B64437A"/>
    <w:rsid w:val="2B6C6752"/>
    <w:rsid w:val="2B7A20E1"/>
    <w:rsid w:val="2B8A3EC7"/>
    <w:rsid w:val="2B9036D5"/>
    <w:rsid w:val="2B9811A5"/>
    <w:rsid w:val="2B9C3C6C"/>
    <w:rsid w:val="2C041B58"/>
    <w:rsid w:val="2C28321D"/>
    <w:rsid w:val="2C602937"/>
    <w:rsid w:val="2C6D2715"/>
    <w:rsid w:val="2C8C1F11"/>
    <w:rsid w:val="2C99074C"/>
    <w:rsid w:val="2CB5119F"/>
    <w:rsid w:val="2CDF0AFD"/>
    <w:rsid w:val="2CE2771D"/>
    <w:rsid w:val="2CED26E7"/>
    <w:rsid w:val="2CF80752"/>
    <w:rsid w:val="2CFB16B1"/>
    <w:rsid w:val="2D15326E"/>
    <w:rsid w:val="2D2500D2"/>
    <w:rsid w:val="2D685FF2"/>
    <w:rsid w:val="2D7442BA"/>
    <w:rsid w:val="2D791C77"/>
    <w:rsid w:val="2DA36096"/>
    <w:rsid w:val="2DC627D7"/>
    <w:rsid w:val="2E4F3258"/>
    <w:rsid w:val="2E592221"/>
    <w:rsid w:val="2E627104"/>
    <w:rsid w:val="2E710B90"/>
    <w:rsid w:val="2E9021DA"/>
    <w:rsid w:val="2ED56FB3"/>
    <w:rsid w:val="2EE13EF9"/>
    <w:rsid w:val="2EE61AC7"/>
    <w:rsid w:val="2F2921FF"/>
    <w:rsid w:val="2F377E88"/>
    <w:rsid w:val="2F3D5D02"/>
    <w:rsid w:val="2F412691"/>
    <w:rsid w:val="2F4C0E7E"/>
    <w:rsid w:val="2F5527C5"/>
    <w:rsid w:val="2F6237F2"/>
    <w:rsid w:val="2F67235B"/>
    <w:rsid w:val="2F77098D"/>
    <w:rsid w:val="2F77513E"/>
    <w:rsid w:val="2F801409"/>
    <w:rsid w:val="2F9227DA"/>
    <w:rsid w:val="2FC328DD"/>
    <w:rsid w:val="2FE74DB7"/>
    <w:rsid w:val="30037E4F"/>
    <w:rsid w:val="300F4A48"/>
    <w:rsid w:val="30275F10"/>
    <w:rsid w:val="302A2203"/>
    <w:rsid w:val="302D7C3D"/>
    <w:rsid w:val="303D3876"/>
    <w:rsid w:val="305F76B1"/>
    <w:rsid w:val="308115EF"/>
    <w:rsid w:val="30D55993"/>
    <w:rsid w:val="30D61664"/>
    <w:rsid w:val="30DB3A35"/>
    <w:rsid w:val="30E453A9"/>
    <w:rsid w:val="30F31456"/>
    <w:rsid w:val="30F50609"/>
    <w:rsid w:val="30F72C13"/>
    <w:rsid w:val="31064E76"/>
    <w:rsid w:val="314A17AE"/>
    <w:rsid w:val="316C3492"/>
    <w:rsid w:val="31774C75"/>
    <w:rsid w:val="3196095B"/>
    <w:rsid w:val="319F0414"/>
    <w:rsid w:val="31B25CAD"/>
    <w:rsid w:val="31D12DA7"/>
    <w:rsid w:val="31ED3213"/>
    <w:rsid w:val="32265D04"/>
    <w:rsid w:val="322F57FA"/>
    <w:rsid w:val="32490651"/>
    <w:rsid w:val="324A0061"/>
    <w:rsid w:val="32687A23"/>
    <w:rsid w:val="32770F75"/>
    <w:rsid w:val="32A7716C"/>
    <w:rsid w:val="32DA2E37"/>
    <w:rsid w:val="32F145E0"/>
    <w:rsid w:val="330F037F"/>
    <w:rsid w:val="332B191D"/>
    <w:rsid w:val="33572B59"/>
    <w:rsid w:val="337A361A"/>
    <w:rsid w:val="33830925"/>
    <w:rsid w:val="338673F1"/>
    <w:rsid w:val="33895871"/>
    <w:rsid w:val="338E2B48"/>
    <w:rsid w:val="33B734CA"/>
    <w:rsid w:val="33DE5712"/>
    <w:rsid w:val="341C410F"/>
    <w:rsid w:val="344C04CB"/>
    <w:rsid w:val="348D7ACC"/>
    <w:rsid w:val="3498710C"/>
    <w:rsid w:val="34B90B35"/>
    <w:rsid w:val="34D73D29"/>
    <w:rsid w:val="34D86492"/>
    <w:rsid w:val="34E15227"/>
    <w:rsid w:val="34E164A9"/>
    <w:rsid w:val="350D1D4E"/>
    <w:rsid w:val="351153E0"/>
    <w:rsid w:val="354A6D40"/>
    <w:rsid w:val="354C7E40"/>
    <w:rsid w:val="35581CF3"/>
    <w:rsid w:val="35656D47"/>
    <w:rsid w:val="3590512C"/>
    <w:rsid w:val="35DA7A15"/>
    <w:rsid w:val="363268B0"/>
    <w:rsid w:val="36427319"/>
    <w:rsid w:val="364912B8"/>
    <w:rsid w:val="367B0CBC"/>
    <w:rsid w:val="369342FF"/>
    <w:rsid w:val="36CC7811"/>
    <w:rsid w:val="37002A9B"/>
    <w:rsid w:val="37062265"/>
    <w:rsid w:val="37141B97"/>
    <w:rsid w:val="371A77F2"/>
    <w:rsid w:val="37875E75"/>
    <w:rsid w:val="378E0A0E"/>
    <w:rsid w:val="37A50C13"/>
    <w:rsid w:val="37A87E76"/>
    <w:rsid w:val="37CE2D3B"/>
    <w:rsid w:val="37E44E60"/>
    <w:rsid w:val="37ED4A7A"/>
    <w:rsid w:val="383B702E"/>
    <w:rsid w:val="386D020B"/>
    <w:rsid w:val="3872263A"/>
    <w:rsid w:val="38784FB0"/>
    <w:rsid w:val="387A419F"/>
    <w:rsid w:val="388A7983"/>
    <w:rsid w:val="389A1CBA"/>
    <w:rsid w:val="38CD3F0A"/>
    <w:rsid w:val="3945042C"/>
    <w:rsid w:val="395B477E"/>
    <w:rsid w:val="39A13F68"/>
    <w:rsid w:val="39D04FEB"/>
    <w:rsid w:val="3A003FE0"/>
    <w:rsid w:val="3A1755F3"/>
    <w:rsid w:val="3A1A6100"/>
    <w:rsid w:val="3A267238"/>
    <w:rsid w:val="3A5C4261"/>
    <w:rsid w:val="3A643F23"/>
    <w:rsid w:val="3A815DE1"/>
    <w:rsid w:val="3A9E7716"/>
    <w:rsid w:val="3AAD66C8"/>
    <w:rsid w:val="3B1E5C8F"/>
    <w:rsid w:val="3B2415F7"/>
    <w:rsid w:val="3B284178"/>
    <w:rsid w:val="3B352D1D"/>
    <w:rsid w:val="3B4E242B"/>
    <w:rsid w:val="3BBF7944"/>
    <w:rsid w:val="3BD12E72"/>
    <w:rsid w:val="3BE01643"/>
    <w:rsid w:val="3C2A6CF2"/>
    <w:rsid w:val="3C6E027D"/>
    <w:rsid w:val="3C7D71B4"/>
    <w:rsid w:val="3C8D3B45"/>
    <w:rsid w:val="3C951ED4"/>
    <w:rsid w:val="3CB14874"/>
    <w:rsid w:val="3D0A2C4E"/>
    <w:rsid w:val="3D4C5742"/>
    <w:rsid w:val="3D4F2F4A"/>
    <w:rsid w:val="3D6562C9"/>
    <w:rsid w:val="3D736C38"/>
    <w:rsid w:val="3DBF04BC"/>
    <w:rsid w:val="3DCF3A3B"/>
    <w:rsid w:val="3DD4501C"/>
    <w:rsid w:val="3DE418E4"/>
    <w:rsid w:val="3DF5764D"/>
    <w:rsid w:val="3E007745"/>
    <w:rsid w:val="3E104419"/>
    <w:rsid w:val="3E141045"/>
    <w:rsid w:val="3E175A62"/>
    <w:rsid w:val="3E1E6F19"/>
    <w:rsid w:val="3E350EDB"/>
    <w:rsid w:val="3E396B1A"/>
    <w:rsid w:val="3E7E7642"/>
    <w:rsid w:val="3E906B1E"/>
    <w:rsid w:val="3EA43F6E"/>
    <w:rsid w:val="3F0B4B10"/>
    <w:rsid w:val="3F1A65CB"/>
    <w:rsid w:val="3F631D67"/>
    <w:rsid w:val="3F7E3672"/>
    <w:rsid w:val="3FB244E5"/>
    <w:rsid w:val="3FB644AF"/>
    <w:rsid w:val="3FB76B47"/>
    <w:rsid w:val="400C0C7E"/>
    <w:rsid w:val="4030372B"/>
    <w:rsid w:val="404331DB"/>
    <w:rsid w:val="4054775A"/>
    <w:rsid w:val="405B780B"/>
    <w:rsid w:val="40630097"/>
    <w:rsid w:val="408D482F"/>
    <w:rsid w:val="408E3D89"/>
    <w:rsid w:val="40A37C21"/>
    <w:rsid w:val="40B55E6A"/>
    <w:rsid w:val="40BC3306"/>
    <w:rsid w:val="41036525"/>
    <w:rsid w:val="412070D7"/>
    <w:rsid w:val="41214BFD"/>
    <w:rsid w:val="41215460"/>
    <w:rsid w:val="41317016"/>
    <w:rsid w:val="41425514"/>
    <w:rsid w:val="41751E83"/>
    <w:rsid w:val="41765A17"/>
    <w:rsid w:val="417C6D49"/>
    <w:rsid w:val="41B57961"/>
    <w:rsid w:val="41D277C5"/>
    <w:rsid w:val="41E06866"/>
    <w:rsid w:val="41F016B6"/>
    <w:rsid w:val="41F027BE"/>
    <w:rsid w:val="420B11A8"/>
    <w:rsid w:val="42132798"/>
    <w:rsid w:val="42493312"/>
    <w:rsid w:val="42756FAE"/>
    <w:rsid w:val="42892A5A"/>
    <w:rsid w:val="42957441"/>
    <w:rsid w:val="42982C9D"/>
    <w:rsid w:val="42CE4D43"/>
    <w:rsid w:val="42D60F78"/>
    <w:rsid w:val="42D75573"/>
    <w:rsid w:val="42FA0B2E"/>
    <w:rsid w:val="43207019"/>
    <w:rsid w:val="432E4C98"/>
    <w:rsid w:val="43481D93"/>
    <w:rsid w:val="435B5288"/>
    <w:rsid w:val="43756A10"/>
    <w:rsid w:val="438F3DD0"/>
    <w:rsid w:val="43A05F19"/>
    <w:rsid w:val="43A713E9"/>
    <w:rsid w:val="43C6069E"/>
    <w:rsid w:val="43E6289A"/>
    <w:rsid w:val="43F742A2"/>
    <w:rsid w:val="43F947CA"/>
    <w:rsid w:val="443A7F11"/>
    <w:rsid w:val="44515068"/>
    <w:rsid w:val="44BC2C73"/>
    <w:rsid w:val="44BE2E8F"/>
    <w:rsid w:val="44C87C99"/>
    <w:rsid w:val="44D77AAC"/>
    <w:rsid w:val="44DD155D"/>
    <w:rsid w:val="45126D36"/>
    <w:rsid w:val="45197D02"/>
    <w:rsid w:val="455C5642"/>
    <w:rsid w:val="455D6332"/>
    <w:rsid w:val="456B75F4"/>
    <w:rsid w:val="458A4BF1"/>
    <w:rsid w:val="45983AA7"/>
    <w:rsid w:val="45AD0A38"/>
    <w:rsid w:val="45B3120B"/>
    <w:rsid w:val="45B67262"/>
    <w:rsid w:val="460553B6"/>
    <w:rsid w:val="462472A8"/>
    <w:rsid w:val="46292DFD"/>
    <w:rsid w:val="46B5559D"/>
    <w:rsid w:val="46E70530"/>
    <w:rsid w:val="47091055"/>
    <w:rsid w:val="471D201C"/>
    <w:rsid w:val="477B0175"/>
    <w:rsid w:val="47846D06"/>
    <w:rsid w:val="47861FD8"/>
    <w:rsid w:val="479828C1"/>
    <w:rsid w:val="47EF309D"/>
    <w:rsid w:val="47FD2D38"/>
    <w:rsid w:val="480C42AE"/>
    <w:rsid w:val="483873BB"/>
    <w:rsid w:val="48414781"/>
    <w:rsid w:val="487E0F35"/>
    <w:rsid w:val="48867B6D"/>
    <w:rsid w:val="489B1FD3"/>
    <w:rsid w:val="48AC0BFF"/>
    <w:rsid w:val="48E3501E"/>
    <w:rsid w:val="491B7866"/>
    <w:rsid w:val="49267254"/>
    <w:rsid w:val="49275063"/>
    <w:rsid w:val="4943581E"/>
    <w:rsid w:val="494E6498"/>
    <w:rsid w:val="495736DB"/>
    <w:rsid w:val="49746588"/>
    <w:rsid w:val="498140EB"/>
    <w:rsid w:val="49984ECB"/>
    <w:rsid w:val="49B31EBC"/>
    <w:rsid w:val="4A1B48DF"/>
    <w:rsid w:val="4A1C300F"/>
    <w:rsid w:val="4A2331AA"/>
    <w:rsid w:val="4A275658"/>
    <w:rsid w:val="4A4A0D21"/>
    <w:rsid w:val="4A5E30DE"/>
    <w:rsid w:val="4AA36864"/>
    <w:rsid w:val="4AB50890"/>
    <w:rsid w:val="4AEF3392"/>
    <w:rsid w:val="4AF62E4A"/>
    <w:rsid w:val="4B157580"/>
    <w:rsid w:val="4B316598"/>
    <w:rsid w:val="4B382003"/>
    <w:rsid w:val="4B3B6678"/>
    <w:rsid w:val="4B727D59"/>
    <w:rsid w:val="4B772AC4"/>
    <w:rsid w:val="4BAB4A05"/>
    <w:rsid w:val="4BBA0128"/>
    <w:rsid w:val="4BD83D64"/>
    <w:rsid w:val="4BE60ADE"/>
    <w:rsid w:val="4C8675A5"/>
    <w:rsid w:val="4C9109DC"/>
    <w:rsid w:val="4C916C5D"/>
    <w:rsid w:val="4CBF7D08"/>
    <w:rsid w:val="4CDA5CA3"/>
    <w:rsid w:val="4CE019EA"/>
    <w:rsid w:val="4D00374E"/>
    <w:rsid w:val="4D265F7F"/>
    <w:rsid w:val="4D3D499E"/>
    <w:rsid w:val="4D461C73"/>
    <w:rsid w:val="4D5C1F46"/>
    <w:rsid w:val="4D732322"/>
    <w:rsid w:val="4DAB7313"/>
    <w:rsid w:val="4DE11CE7"/>
    <w:rsid w:val="4DFC0290"/>
    <w:rsid w:val="4E061F32"/>
    <w:rsid w:val="4E1526DE"/>
    <w:rsid w:val="4E2367F8"/>
    <w:rsid w:val="4E2B3783"/>
    <w:rsid w:val="4ED20B79"/>
    <w:rsid w:val="4F2A549B"/>
    <w:rsid w:val="4F505599"/>
    <w:rsid w:val="4F505F50"/>
    <w:rsid w:val="4FA709C3"/>
    <w:rsid w:val="4FB235F0"/>
    <w:rsid w:val="4FDD7FED"/>
    <w:rsid w:val="4FE92D8A"/>
    <w:rsid w:val="500E58C8"/>
    <w:rsid w:val="50587582"/>
    <w:rsid w:val="506249A3"/>
    <w:rsid w:val="507A38A8"/>
    <w:rsid w:val="507F18B7"/>
    <w:rsid w:val="50947C03"/>
    <w:rsid w:val="50997EE1"/>
    <w:rsid w:val="50A56CB1"/>
    <w:rsid w:val="50C971DB"/>
    <w:rsid w:val="50F552A1"/>
    <w:rsid w:val="51465B73"/>
    <w:rsid w:val="514F30C0"/>
    <w:rsid w:val="51746EAC"/>
    <w:rsid w:val="51752B27"/>
    <w:rsid w:val="51865C27"/>
    <w:rsid w:val="51894A20"/>
    <w:rsid w:val="51DC39EF"/>
    <w:rsid w:val="52057E30"/>
    <w:rsid w:val="520B6CD1"/>
    <w:rsid w:val="521C0037"/>
    <w:rsid w:val="52277905"/>
    <w:rsid w:val="523E657C"/>
    <w:rsid w:val="524F3501"/>
    <w:rsid w:val="529B69CD"/>
    <w:rsid w:val="52AC368B"/>
    <w:rsid w:val="530E7BED"/>
    <w:rsid w:val="533831E5"/>
    <w:rsid w:val="536B312A"/>
    <w:rsid w:val="53786493"/>
    <w:rsid w:val="537970BE"/>
    <w:rsid w:val="53B529DA"/>
    <w:rsid w:val="53F63150"/>
    <w:rsid w:val="544E5CE1"/>
    <w:rsid w:val="547C38C5"/>
    <w:rsid w:val="54A8728C"/>
    <w:rsid w:val="54B26AE0"/>
    <w:rsid w:val="54D20DC2"/>
    <w:rsid w:val="54D632C2"/>
    <w:rsid w:val="54E90127"/>
    <w:rsid w:val="54E978BE"/>
    <w:rsid w:val="550A0FB6"/>
    <w:rsid w:val="55172147"/>
    <w:rsid w:val="551849C4"/>
    <w:rsid w:val="55212D9F"/>
    <w:rsid w:val="552E1678"/>
    <w:rsid w:val="5540344C"/>
    <w:rsid w:val="554B6CA4"/>
    <w:rsid w:val="55854E18"/>
    <w:rsid w:val="558A2919"/>
    <w:rsid w:val="559C1AE6"/>
    <w:rsid w:val="55AE3EB1"/>
    <w:rsid w:val="55CC0613"/>
    <w:rsid w:val="55D1679A"/>
    <w:rsid w:val="55E246EE"/>
    <w:rsid w:val="56064695"/>
    <w:rsid w:val="561A1EF3"/>
    <w:rsid w:val="56220DA3"/>
    <w:rsid w:val="5622226F"/>
    <w:rsid w:val="564A382F"/>
    <w:rsid w:val="564E0A5E"/>
    <w:rsid w:val="56582A17"/>
    <w:rsid w:val="567328FB"/>
    <w:rsid w:val="569A68FD"/>
    <w:rsid w:val="569F1C0C"/>
    <w:rsid w:val="56BA0FDC"/>
    <w:rsid w:val="56E524FD"/>
    <w:rsid w:val="56F070D3"/>
    <w:rsid w:val="56F92E37"/>
    <w:rsid w:val="570F757A"/>
    <w:rsid w:val="57174D9F"/>
    <w:rsid w:val="57272B15"/>
    <w:rsid w:val="57511D00"/>
    <w:rsid w:val="575642B2"/>
    <w:rsid w:val="57596A47"/>
    <w:rsid w:val="576156E3"/>
    <w:rsid w:val="5765740A"/>
    <w:rsid w:val="57761C5A"/>
    <w:rsid w:val="57820578"/>
    <w:rsid w:val="5788315B"/>
    <w:rsid w:val="57885808"/>
    <w:rsid w:val="57A46AB3"/>
    <w:rsid w:val="57C4203E"/>
    <w:rsid w:val="57D27535"/>
    <w:rsid w:val="580746F5"/>
    <w:rsid w:val="582E57DE"/>
    <w:rsid w:val="58BC728D"/>
    <w:rsid w:val="58CC5653"/>
    <w:rsid w:val="58DA6276"/>
    <w:rsid w:val="58F04324"/>
    <w:rsid w:val="58F558C3"/>
    <w:rsid w:val="59050C34"/>
    <w:rsid w:val="59524285"/>
    <w:rsid w:val="597E746C"/>
    <w:rsid w:val="59815DE1"/>
    <w:rsid w:val="599D363F"/>
    <w:rsid w:val="59B12B85"/>
    <w:rsid w:val="59B74A5F"/>
    <w:rsid w:val="59CA3CD2"/>
    <w:rsid w:val="59CF4D3F"/>
    <w:rsid w:val="59F46C84"/>
    <w:rsid w:val="5A347B41"/>
    <w:rsid w:val="5A480E1B"/>
    <w:rsid w:val="5A551E1D"/>
    <w:rsid w:val="5A636B29"/>
    <w:rsid w:val="5A6A054B"/>
    <w:rsid w:val="5A766C6C"/>
    <w:rsid w:val="5A820045"/>
    <w:rsid w:val="5A897643"/>
    <w:rsid w:val="5A8F2C00"/>
    <w:rsid w:val="5AA13D3C"/>
    <w:rsid w:val="5AC6273A"/>
    <w:rsid w:val="5AF33BC6"/>
    <w:rsid w:val="5AFA409D"/>
    <w:rsid w:val="5B2814B3"/>
    <w:rsid w:val="5B320D2B"/>
    <w:rsid w:val="5B687259"/>
    <w:rsid w:val="5B792ABC"/>
    <w:rsid w:val="5B995664"/>
    <w:rsid w:val="5BAC183B"/>
    <w:rsid w:val="5C12230C"/>
    <w:rsid w:val="5C160FC3"/>
    <w:rsid w:val="5C481F0D"/>
    <w:rsid w:val="5C4A0C8D"/>
    <w:rsid w:val="5C4A59EB"/>
    <w:rsid w:val="5C560125"/>
    <w:rsid w:val="5C5A5708"/>
    <w:rsid w:val="5C760175"/>
    <w:rsid w:val="5C863885"/>
    <w:rsid w:val="5CBF64B7"/>
    <w:rsid w:val="5CC46711"/>
    <w:rsid w:val="5CEC1754"/>
    <w:rsid w:val="5CF61922"/>
    <w:rsid w:val="5CFB08C2"/>
    <w:rsid w:val="5D0D2EA8"/>
    <w:rsid w:val="5D1839D2"/>
    <w:rsid w:val="5D191159"/>
    <w:rsid w:val="5D2968AE"/>
    <w:rsid w:val="5D2D1E30"/>
    <w:rsid w:val="5D2E3A1B"/>
    <w:rsid w:val="5D471089"/>
    <w:rsid w:val="5D477F26"/>
    <w:rsid w:val="5D4F20AF"/>
    <w:rsid w:val="5D5401FE"/>
    <w:rsid w:val="5D8F7EF1"/>
    <w:rsid w:val="5DAD3649"/>
    <w:rsid w:val="5DB669A1"/>
    <w:rsid w:val="5DEF4068"/>
    <w:rsid w:val="5DEF6EDC"/>
    <w:rsid w:val="5E095557"/>
    <w:rsid w:val="5E114D14"/>
    <w:rsid w:val="5E3E0745"/>
    <w:rsid w:val="5E5A2841"/>
    <w:rsid w:val="5E75498A"/>
    <w:rsid w:val="5E92475F"/>
    <w:rsid w:val="5ED63554"/>
    <w:rsid w:val="5EE7541F"/>
    <w:rsid w:val="5EFF7ED4"/>
    <w:rsid w:val="5F180F8B"/>
    <w:rsid w:val="5F230900"/>
    <w:rsid w:val="5F366F9D"/>
    <w:rsid w:val="5F5302B4"/>
    <w:rsid w:val="5F8A1E93"/>
    <w:rsid w:val="5F9334A3"/>
    <w:rsid w:val="5F9602B4"/>
    <w:rsid w:val="5FA062D1"/>
    <w:rsid w:val="5FC00954"/>
    <w:rsid w:val="5FC05F71"/>
    <w:rsid w:val="60097649"/>
    <w:rsid w:val="600D5B36"/>
    <w:rsid w:val="60230FB8"/>
    <w:rsid w:val="605835C4"/>
    <w:rsid w:val="606326E4"/>
    <w:rsid w:val="60906E3E"/>
    <w:rsid w:val="60A8144E"/>
    <w:rsid w:val="60EA0D4D"/>
    <w:rsid w:val="611D6D37"/>
    <w:rsid w:val="612029BD"/>
    <w:rsid w:val="612C5BB6"/>
    <w:rsid w:val="612F5419"/>
    <w:rsid w:val="61354081"/>
    <w:rsid w:val="61750921"/>
    <w:rsid w:val="618058BA"/>
    <w:rsid w:val="618F63D5"/>
    <w:rsid w:val="61F168F6"/>
    <w:rsid w:val="61F678D2"/>
    <w:rsid w:val="62302523"/>
    <w:rsid w:val="62353C0D"/>
    <w:rsid w:val="624F1172"/>
    <w:rsid w:val="625B18C5"/>
    <w:rsid w:val="62900449"/>
    <w:rsid w:val="629D2E97"/>
    <w:rsid w:val="62A80882"/>
    <w:rsid w:val="62BA6724"/>
    <w:rsid w:val="62FF7DC6"/>
    <w:rsid w:val="63081CE2"/>
    <w:rsid w:val="630C0B96"/>
    <w:rsid w:val="6311467A"/>
    <w:rsid w:val="634A4A60"/>
    <w:rsid w:val="634C7460"/>
    <w:rsid w:val="636A16D2"/>
    <w:rsid w:val="637208C0"/>
    <w:rsid w:val="639D60E1"/>
    <w:rsid w:val="63D17669"/>
    <w:rsid w:val="64023136"/>
    <w:rsid w:val="641113D3"/>
    <w:rsid w:val="641B0312"/>
    <w:rsid w:val="64316314"/>
    <w:rsid w:val="64447313"/>
    <w:rsid w:val="648F0C65"/>
    <w:rsid w:val="649C3C91"/>
    <w:rsid w:val="64B57C16"/>
    <w:rsid w:val="64C61627"/>
    <w:rsid w:val="65464C22"/>
    <w:rsid w:val="656613C0"/>
    <w:rsid w:val="658B72E8"/>
    <w:rsid w:val="65962C14"/>
    <w:rsid w:val="65A753BA"/>
    <w:rsid w:val="65B3143A"/>
    <w:rsid w:val="65BC4BD0"/>
    <w:rsid w:val="66046608"/>
    <w:rsid w:val="660E4EA0"/>
    <w:rsid w:val="66353DD6"/>
    <w:rsid w:val="663A5838"/>
    <w:rsid w:val="664F5A01"/>
    <w:rsid w:val="667D0DE1"/>
    <w:rsid w:val="66885EEB"/>
    <w:rsid w:val="66C13CA7"/>
    <w:rsid w:val="66E1628E"/>
    <w:rsid w:val="67044613"/>
    <w:rsid w:val="671A5211"/>
    <w:rsid w:val="671F764A"/>
    <w:rsid w:val="672C3C0D"/>
    <w:rsid w:val="672E2919"/>
    <w:rsid w:val="67310E46"/>
    <w:rsid w:val="67752267"/>
    <w:rsid w:val="677C6E4E"/>
    <w:rsid w:val="67BC78C2"/>
    <w:rsid w:val="67E42383"/>
    <w:rsid w:val="67E52CBF"/>
    <w:rsid w:val="68157FF7"/>
    <w:rsid w:val="681A18DB"/>
    <w:rsid w:val="68304EC5"/>
    <w:rsid w:val="68335E23"/>
    <w:rsid w:val="68396DD6"/>
    <w:rsid w:val="685F6FC6"/>
    <w:rsid w:val="68731731"/>
    <w:rsid w:val="68861A26"/>
    <w:rsid w:val="688654E2"/>
    <w:rsid w:val="68880FB8"/>
    <w:rsid w:val="68A049A1"/>
    <w:rsid w:val="68B25FB7"/>
    <w:rsid w:val="68B673CD"/>
    <w:rsid w:val="68ED5241"/>
    <w:rsid w:val="691D5B26"/>
    <w:rsid w:val="692A37F7"/>
    <w:rsid w:val="692D2E4B"/>
    <w:rsid w:val="69867A21"/>
    <w:rsid w:val="698A6F34"/>
    <w:rsid w:val="699D5F08"/>
    <w:rsid w:val="69BC0E96"/>
    <w:rsid w:val="69BE040E"/>
    <w:rsid w:val="69D764C8"/>
    <w:rsid w:val="69FB37F3"/>
    <w:rsid w:val="6A2A0A42"/>
    <w:rsid w:val="6A2E0732"/>
    <w:rsid w:val="6A3219EC"/>
    <w:rsid w:val="6A5B0ADA"/>
    <w:rsid w:val="6A77375F"/>
    <w:rsid w:val="6A9C6F1F"/>
    <w:rsid w:val="6A9E1186"/>
    <w:rsid w:val="6AAF7834"/>
    <w:rsid w:val="6AC87131"/>
    <w:rsid w:val="6ACE26E5"/>
    <w:rsid w:val="6AD72186"/>
    <w:rsid w:val="6AED32D6"/>
    <w:rsid w:val="6B155342"/>
    <w:rsid w:val="6B1B1E33"/>
    <w:rsid w:val="6B461C00"/>
    <w:rsid w:val="6B8B6F32"/>
    <w:rsid w:val="6B9D6CF7"/>
    <w:rsid w:val="6BA1342E"/>
    <w:rsid w:val="6BC67FC5"/>
    <w:rsid w:val="6BE324BF"/>
    <w:rsid w:val="6BF60C12"/>
    <w:rsid w:val="6C191733"/>
    <w:rsid w:val="6C1C7F09"/>
    <w:rsid w:val="6C272875"/>
    <w:rsid w:val="6C3A0673"/>
    <w:rsid w:val="6C3E1AEF"/>
    <w:rsid w:val="6C474C68"/>
    <w:rsid w:val="6C596F9B"/>
    <w:rsid w:val="6C684DC5"/>
    <w:rsid w:val="6C6E0447"/>
    <w:rsid w:val="6C6E7CEA"/>
    <w:rsid w:val="6CD521A0"/>
    <w:rsid w:val="6CE96443"/>
    <w:rsid w:val="6CF8608C"/>
    <w:rsid w:val="6D195612"/>
    <w:rsid w:val="6D223B5D"/>
    <w:rsid w:val="6D3F1FD7"/>
    <w:rsid w:val="6D643260"/>
    <w:rsid w:val="6D7952F5"/>
    <w:rsid w:val="6D7E1743"/>
    <w:rsid w:val="6DB077AD"/>
    <w:rsid w:val="6DB15ADC"/>
    <w:rsid w:val="6DC72FAB"/>
    <w:rsid w:val="6DF35E9F"/>
    <w:rsid w:val="6DF81DC3"/>
    <w:rsid w:val="6DFB215A"/>
    <w:rsid w:val="6E073DC4"/>
    <w:rsid w:val="6E2E4E0D"/>
    <w:rsid w:val="6E503E8F"/>
    <w:rsid w:val="6E574DA6"/>
    <w:rsid w:val="6E657551"/>
    <w:rsid w:val="6E6A6BB0"/>
    <w:rsid w:val="6E764C3A"/>
    <w:rsid w:val="6E9047CB"/>
    <w:rsid w:val="6EC30F1E"/>
    <w:rsid w:val="6EE73FF8"/>
    <w:rsid w:val="6EF110BF"/>
    <w:rsid w:val="6EFE79AA"/>
    <w:rsid w:val="6F0B6421"/>
    <w:rsid w:val="6F0F4865"/>
    <w:rsid w:val="6F145F56"/>
    <w:rsid w:val="6F2F0361"/>
    <w:rsid w:val="6F6B709B"/>
    <w:rsid w:val="6F85535D"/>
    <w:rsid w:val="6F8620CD"/>
    <w:rsid w:val="6F9B7605"/>
    <w:rsid w:val="6FAB550E"/>
    <w:rsid w:val="6FAF30C7"/>
    <w:rsid w:val="6FD659ED"/>
    <w:rsid w:val="70117A67"/>
    <w:rsid w:val="70194E99"/>
    <w:rsid w:val="701C1C48"/>
    <w:rsid w:val="7056778F"/>
    <w:rsid w:val="70637E21"/>
    <w:rsid w:val="70922ED0"/>
    <w:rsid w:val="709F1517"/>
    <w:rsid w:val="709F419D"/>
    <w:rsid w:val="70A82A98"/>
    <w:rsid w:val="70AE3508"/>
    <w:rsid w:val="70AF033A"/>
    <w:rsid w:val="70BA3C5B"/>
    <w:rsid w:val="70E138DD"/>
    <w:rsid w:val="711802AE"/>
    <w:rsid w:val="715E1033"/>
    <w:rsid w:val="7160096D"/>
    <w:rsid w:val="717C159F"/>
    <w:rsid w:val="718026A7"/>
    <w:rsid w:val="718036C7"/>
    <w:rsid w:val="71B451C8"/>
    <w:rsid w:val="71C034F3"/>
    <w:rsid w:val="71CF1988"/>
    <w:rsid w:val="720B7CDC"/>
    <w:rsid w:val="720C2934"/>
    <w:rsid w:val="72190E55"/>
    <w:rsid w:val="72394D97"/>
    <w:rsid w:val="72482F99"/>
    <w:rsid w:val="725A21C1"/>
    <w:rsid w:val="729C3F60"/>
    <w:rsid w:val="729D5DF1"/>
    <w:rsid w:val="72A7258E"/>
    <w:rsid w:val="72FF5698"/>
    <w:rsid w:val="73390CE1"/>
    <w:rsid w:val="73457F16"/>
    <w:rsid w:val="736E43DE"/>
    <w:rsid w:val="737B38E4"/>
    <w:rsid w:val="73802E74"/>
    <w:rsid w:val="73ED0EC1"/>
    <w:rsid w:val="745B3FC8"/>
    <w:rsid w:val="745D3F58"/>
    <w:rsid w:val="748465F4"/>
    <w:rsid w:val="749C2439"/>
    <w:rsid w:val="749F3AE8"/>
    <w:rsid w:val="74AE0156"/>
    <w:rsid w:val="74B3733F"/>
    <w:rsid w:val="74F156B8"/>
    <w:rsid w:val="74FD352B"/>
    <w:rsid w:val="750556C0"/>
    <w:rsid w:val="7513018E"/>
    <w:rsid w:val="751B3348"/>
    <w:rsid w:val="75420914"/>
    <w:rsid w:val="75444A9B"/>
    <w:rsid w:val="75537ABD"/>
    <w:rsid w:val="7562469E"/>
    <w:rsid w:val="757C4794"/>
    <w:rsid w:val="758551ED"/>
    <w:rsid w:val="75AE1234"/>
    <w:rsid w:val="75C00276"/>
    <w:rsid w:val="75DA6B4D"/>
    <w:rsid w:val="75DF4163"/>
    <w:rsid w:val="75E143A6"/>
    <w:rsid w:val="75F838D1"/>
    <w:rsid w:val="76206C56"/>
    <w:rsid w:val="76212261"/>
    <w:rsid w:val="76783389"/>
    <w:rsid w:val="76857889"/>
    <w:rsid w:val="76AF6851"/>
    <w:rsid w:val="76B04F02"/>
    <w:rsid w:val="76BE7F90"/>
    <w:rsid w:val="77040325"/>
    <w:rsid w:val="77066C82"/>
    <w:rsid w:val="771B43D0"/>
    <w:rsid w:val="77511122"/>
    <w:rsid w:val="77642B72"/>
    <w:rsid w:val="77775308"/>
    <w:rsid w:val="77996CC0"/>
    <w:rsid w:val="77AF7518"/>
    <w:rsid w:val="77C35AEB"/>
    <w:rsid w:val="77CB0E43"/>
    <w:rsid w:val="77E00C86"/>
    <w:rsid w:val="77F426FD"/>
    <w:rsid w:val="77F729FA"/>
    <w:rsid w:val="78295209"/>
    <w:rsid w:val="7835274D"/>
    <w:rsid w:val="7837461F"/>
    <w:rsid w:val="78C30D73"/>
    <w:rsid w:val="78F16639"/>
    <w:rsid w:val="78F75BCA"/>
    <w:rsid w:val="790C6114"/>
    <w:rsid w:val="79217CA8"/>
    <w:rsid w:val="792949B2"/>
    <w:rsid w:val="793401EC"/>
    <w:rsid w:val="79547AA0"/>
    <w:rsid w:val="79585F98"/>
    <w:rsid w:val="797E7A61"/>
    <w:rsid w:val="79A70BDB"/>
    <w:rsid w:val="79BC3779"/>
    <w:rsid w:val="79D746AA"/>
    <w:rsid w:val="7A001C71"/>
    <w:rsid w:val="7A131526"/>
    <w:rsid w:val="7A473397"/>
    <w:rsid w:val="7A486DFF"/>
    <w:rsid w:val="7A5C37AD"/>
    <w:rsid w:val="7A792DD8"/>
    <w:rsid w:val="7A832533"/>
    <w:rsid w:val="7A9A11BA"/>
    <w:rsid w:val="7AB11D62"/>
    <w:rsid w:val="7AC23BF6"/>
    <w:rsid w:val="7AD34C0C"/>
    <w:rsid w:val="7AFA2663"/>
    <w:rsid w:val="7AFD7566"/>
    <w:rsid w:val="7B0131EF"/>
    <w:rsid w:val="7B0E3521"/>
    <w:rsid w:val="7B1445FD"/>
    <w:rsid w:val="7B146D59"/>
    <w:rsid w:val="7B2F01FA"/>
    <w:rsid w:val="7B5F4038"/>
    <w:rsid w:val="7B8A6983"/>
    <w:rsid w:val="7BB37C24"/>
    <w:rsid w:val="7BBC2F7D"/>
    <w:rsid w:val="7BC62CEC"/>
    <w:rsid w:val="7BEE4A56"/>
    <w:rsid w:val="7C2E5F6B"/>
    <w:rsid w:val="7C3924B2"/>
    <w:rsid w:val="7C3938FC"/>
    <w:rsid w:val="7C490589"/>
    <w:rsid w:val="7C4C3695"/>
    <w:rsid w:val="7C67287F"/>
    <w:rsid w:val="7C9E5EB4"/>
    <w:rsid w:val="7CBF53B8"/>
    <w:rsid w:val="7CC75B6C"/>
    <w:rsid w:val="7CD53A01"/>
    <w:rsid w:val="7CD62C86"/>
    <w:rsid w:val="7CED2197"/>
    <w:rsid w:val="7CF07AFD"/>
    <w:rsid w:val="7D1F0DC2"/>
    <w:rsid w:val="7D240CE8"/>
    <w:rsid w:val="7D387216"/>
    <w:rsid w:val="7D4A0A5C"/>
    <w:rsid w:val="7D644FF4"/>
    <w:rsid w:val="7D843DC0"/>
    <w:rsid w:val="7D94195B"/>
    <w:rsid w:val="7DBB1012"/>
    <w:rsid w:val="7DBD6F86"/>
    <w:rsid w:val="7DD00F61"/>
    <w:rsid w:val="7DD16A88"/>
    <w:rsid w:val="7E0E1A8A"/>
    <w:rsid w:val="7E130718"/>
    <w:rsid w:val="7E410A4A"/>
    <w:rsid w:val="7E762257"/>
    <w:rsid w:val="7E8F4979"/>
    <w:rsid w:val="7EAD418A"/>
    <w:rsid w:val="7EEC74E1"/>
    <w:rsid w:val="7F1E3B85"/>
    <w:rsid w:val="7F1F1AC9"/>
    <w:rsid w:val="7F2876D1"/>
    <w:rsid w:val="7F3948E4"/>
    <w:rsid w:val="7F3D2627"/>
    <w:rsid w:val="7F5C4EEB"/>
    <w:rsid w:val="7F7B5FAD"/>
    <w:rsid w:val="7F93121B"/>
    <w:rsid w:val="7F992792"/>
    <w:rsid w:val="7FA97CBC"/>
    <w:rsid w:val="7FAB29DB"/>
    <w:rsid w:val="7FAE52D2"/>
    <w:rsid w:val="7FCD5A67"/>
    <w:rsid w:val="7FDB0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2"/>
    <w:qFormat/>
    <w:uiPriority w:val="0"/>
    <w:pPr>
      <w:spacing w:before="340" w:after="330" w:line="360" w:lineRule="auto"/>
      <w:jc w:val="center"/>
      <w:outlineLvl w:val="0"/>
    </w:pPr>
    <w:rPr>
      <w:bCs/>
      <w:kern w:val="44"/>
      <w:sz w:val="36"/>
      <w:szCs w:val="36"/>
    </w:rPr>
  </w:style>
  <w:style w:type="paragraph" w:styleId="3">
    <w:name w:val="heading 2"/>
    <w:basedOn w:val="1"/>
    <w:next w:val="1"/>
    <w:link w:val="54"/>
    <w:qFormat/>
    <w:uiPriority w:val="0"/>
    <w:pPr>
      <w:adjustRightInd w:val="0"/>
      <w:jc w:val="center"/>
      <w:textAlignment w:val="baseline"/>
      <w:outlineLvl w:val="1"/>
    </w:pPr>
    <w:rPr>
      <w:b/>
      <w:kern w:val="0"/>
      <w:sz w:val="24"/>
      <w:szCs w:val="20"/>
    </w:rPr>
  </w:style>
  <w:style w:type="paragraph" w:styleId="4">
    <w:name w:val="heading 3"/>
    <w:basedOn w:val="5"/>
    <w:next w:val="1"/>
    <w:link w:val="56"/>
    <w:qFormat/>
    <w:uiPriority w:val="0"/>
    <w:pPr>
      <w:spacing w:before="260" w:after="260" w:line="240" w:lineRule="auto"/>
      <w:outlineLvl w:val="2"/>
    </w:pPr>
    <w:rPr>
      <w:rFonts w:eastAsia="宋体"/>
      <w:b w:val="0"/>
      <w:bCs w:val="0"/>
      <w:szCs w:val="32"/>
    </w:rPr>
  </w:style>
  <w:style w:type="paragraph" w:styleId="5">
    <w:name w:val="heading 4"/>
    <w:basedOn w:val="1"/>
    <w:next w:val="1"/>
    <w:link w:val="55"/>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7"/>
    <w:link w:val="57"/>
    <w:qFormat/>
    <w:uiPriority w:val="0"/>
    <w:pPr>
      <w:keepNext/>
      <w:keepLines/>
      <w:spacing w:before="280" w:after="290" w:line="376" w:lineRule="auto"/>
      <w:outlineLvl w:val="4"/>
    </w:pPr>
    <w:rPr>
      <w:b/>
      <w:kern w:val="0"/>
      <w:sz w:val="28"/>
      <w:szCs w:val="20"/>
    </w:rPr>
  </w:style>
  <w:style w:type="paragraph" w:styleId="8">
    <w:name w:val="heading 6"/>
    <w:basedOn w:val="1"/>
    <w:next w:val="7"/>
    <w:link w:val="59"/>
    <w:qFormat/>
    <w:uiPriority w:val="0"/>
    <w:pPr>
      <w:keepNext/>
      <w:keepLines/>
      <w:spacing w:before="240" w:after="64" w:line="320" w:lineRule="auto"/>
      <w:outlineLvl w:val="5"/>
    </w:pPr>
    <w:rPr>
      <w:rFonts w:ascii="Arial" w:hAnsi="Arial" w:eastAsia="黑体"/>
      <w:b/>
      <w:kern w:val="0"/>
      <w:sz w:val="24"/>
      <w:szCs w:val="20"/>
    </w:rPr>
  </w:style>
  <w:style w:type="paragraph" w:styleId="9">
    <w:name w:val="heading 7"/>
    <w:basedOn w:val="1"/>
    <w:next w:val="7"/>
    <w:link w:val="60"/>
    <w:qFormat/>
    <w:uiPriority w:val="0"/>
    <w:pPr>
      <w:keepNext/>
      <w:keepLines/>
      <w:spacing w:before="240" w:after="64" w:line="320" w:lineRule="auto"/>
      <w:outlineLvl w:val="6"/>
    </w:pPr>
    <w:rPr>
      <w:b/>
      <w:kern w:val="0"/>
      <w:sz w:val="24"/>
      <w:szCs w:val="20"/>
    </w:rPr>
  </w:style>
  <w:style w:type="paragraph" w:styleId="10">
    <w:name w:val="heading 8"/>
    <w:basedOn w:val="1"/>
    <w:next w:val="7"/>
    <w:link w:val="61"/>
    <w:qFormat/>
    <w:uiPriority w:val="0"/>
    <w:pPr>
      <w:keepNext/>
      <w:keepLines/>
      <w:spacing w:before="240" w:after="64" w:line="320" w:lineRule="auto"/>
      <w:outlineLvl w:val="7"/>
    </w:pPr>
    <w:rPr>
      <w:rFonts w:ascii="Arial" w:hAnsi="Arial" w:eastAsia="黑体"/>
      <w:kern w:val="0"/>
      <w:sz w:val="24"/>
      <w:szCs w:val="20"/>
    </w:rPr>
  </w:style>
  <w:style w:type="paragraph" w:styleId="11">
    <w:name w:val="heading 9"/>
    <w:basedOn w:val="1"/>
    <w:next w:val="7"/>
    <w:link w:val="62"/>
    <w:qFormat/>
    <w:uiPriority w:val="0"/>
    <w:pPr>
      <w:keepNext/>
      <w:keepLines/>
      <w:spacing w:before="240" w:after="64" w:line="320" w:lineRule="auto"/>
      <w:outlineLvl w:val="8"/>
    </w:pPr>
    <w:rPr>
      <w:rFonts w:ascii="Arial" w:hAnsi="Arial" w:eastAsia="黑体"/>
      <w:kern w:val="0"/>
      <w:sz w:val="20"/>
      <w:szCs w:val="20"/>
    </w:rPr>
  </w:style>
  <w:style w:type="character" w:default="1" w:styleId="45">
    <w:name w:val="Default Paragraph Font"/>
    <w:unhideWhenUsed/>
    <w:qFormat/>
    <w:uiPriority w:val="1"/>
  </w:style>
  <w:style w:type="table" w:default="1" w:styleId="43">
    <w:name w:val="Normal Table"/>
    <w:unhideWhenUsed/>
    <w:qFormat/>
    <w:uiPriority w:val="99"/>
    <w:tblPr>
      <w:tblCellMar>
        <w:top w:w="0" w:type="dxa"/>
        <w:left w:w="108" w:type="dxa"/>
        <w:bottom w:w="0" w:type="dxa"/>
        <w:right w:w="108" w:type="dxa"/>
      </w:tblCellMar>
    </w:tblPr>
  </w:style>
  <w:style w:type="paragraph" w:styleId="7">
    <w:name w:val="Normal Indent"/>
    <w:basedOn w:val="1"/>
    <w:link w:val="58"/>
    <w:qFormat/>
    <w:uiPriority w:val="0"/>
    <w:pPr>
      <w:ind w:firstLine="420"/>
    </w:pPr>
    <w:rPr>
      <w:kern w:val="0"/>
      <w:sz w:val="20"/>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tabs>
        <w:tab w:val="left" w:pos="360"/>
      </w:tabs>
      <w:ind w:left="360" w:hanging="360" w:hangingChars="200"/>
    </w:pPr>
    <w:rPr>
      <w:szCs w:val="20"/>
    </w:rPr>
  </w:style>
  <w:style w:type="paragraph" w:styleId="14">
    <w:name w:val="Document Map"/>
    <w:basedOn w:val="1"/>
    <w:link w:val="63"/>
    <w:semiHidden/>
    <w:qFormat/>
    <w:uiPriority w:val="0"/>
    <w:pPr>
      <w:shd w:val="clear" w:color="auto" w:fill="000080"/>
    </w:pPr>
    <w:rPr>
      <w:kern w:val="0"/>
      <w:sz w:val="20"/>
      <w:szCs w:val="24"/>
    </w:rPr>
  </w:style>
  <w:style w:type="paragraph" w:styleId="15">
    <w:name w:val="annotation text"/>
    <w:basedOn w:val="1"/>
    <w:link w:val="64"/>
    <w:semiHidden/>
    <w:qFormat/>
    <w:uiPriority w:val="99"/>
    <w:pPr>
      <w:autoSpaceDE w:val="0"/>
      <w:autoSpaceDN w:val="0"/>
      <w:adjustRightInd w:val="0"/>
      <w:jc w:val="left"/>
      <w:textAlignment w:val="baseline"/>
    </w:pPr>
    <w:rPr>
      <w:kern w:val="0"/>
      <w:sz w:val="34"/>
      <w:szCs w:val="20"/>
    </w:rPr>
  </w:style>
  <w:style w:type="paragraph" w:styleId="16">
    <w:name w:val="Body Text 3"/>
    <w:basedOn w:val="1"/>
    <w:link w:val="65"/>
    <w:qFormat/>
    <w:uiPriority w:val="0"/>
    <w:pPr>
      <w:spacing w:after="120"/>
    </w:pPr>
    <w:rPr>
      <w:kern w:val="0"/>
      <w:sz w:val="16"/>
      <w:szCs w:val="16"/>
    </w:rPr>
  </w:style>
  <w:style w:type="paragraph" w:styleId="17">
    <w:name w:val="Body Text"/>
    <w:basedOn w:val="1"/>
    <w:next w:val="18"/>
    <w:link w:val="53"/>
    <w:qFormat/>
    <w:uiPriority w:val="0"/>
    <w:pPr>
      <w:spacing w:line="360" w:lineRule="auto"/>
    </w:pPr>
    <w:rPr>
      <w:b/>
      <w:bCs/>
      <w:kern w:val="0"/>
      <w:sz w:val="24"/>
      <w:szCs w:val="24"/>
    </w:rPr>
  </w:style>
  <w:style w:type="paragraph" w:styleId="18">
    <w:name w:val="Body Text 2"/>
    <w:basedOn w:val="1"/>
    <w:link w:val="75"/>
    <w:qFormat/>
    <w:uiPriority w:val="0"/>
    <w:pPr>
      <w:spacing w:line="360" w:lineRule="auto"/>
    </w:pPr>
    <w:rPr>
      <w:kern w:val="0"/>
      <w:sz w:val="24"/>
      <w:szCs w:val="24"/>
    </w:rPr>
  </w:style>
  <w:style w:type="paragraph" w:styleId="19">
    <w:name w:val="Body Text Indent"/>
    <w:basedOn w:val="1"/>
    <w:link w:val="66"/>
    <w:qFormat/>
    <w:uiPriority w:val="0"/>
    <w:pPr>
      <w:spacing w:line="360" w:lineRule="auto"/>
      <w:ind w:firstLine="420" w:firstLineChars="200"/>
    </w:pPr>
    <w:rPr>
      <w:kern w:val="0"/>
      <w:sz w:val="20"/>
      <w:szCs w:val="24"/>
    </w:r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szCs w:val="24"/>
    </w:rPr>
  </w:style>
  <w:style w:type="paragraph" w:styleId="22">
    <w:name w:val="Plain Text"/>
    <w:basedOn w:val="1"/>
    <w:link w:val="67"/>
    <w:qFormat/>
    <w:uiPriority w:val="0"/>
    <w:rPr>
      <w:rFonts w:hAnsi="Courier New"/>
      <w:kern w:val="0"/>
      <w:sz w:val="20"/>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68"/>
    <w:unhideWhenUsed/>
    <w:qFormat/>
    <w:uiPriority w:val="0"/>
    <w:pPr>
      <w:ind w:left="100" w:leftChars="2500"/>
    </w:pPr>
    <w:rPr>
      <w:rFonts w:ascii="Calibri" w:hAnsi="Calibri"/>
      <w:kern w:val="0"/>
      <w:sz w:val="20"/>
      <w:szCs w:val="20"/>
    </w:rPr>
  </w:style>
  <w:style w:type="paragraph" w:styleId="25">
    <w:name w:val="Body Text Indent 2"/>
    <w:basedOn w:val="1"/>
    <w:link w:val="69"/>
    <w:qFormat/>
    <w:uiPriority w:val="0"/>
    <w:pPr>
      <w:spacing w:beforeLines="50" w:afterLines="50" w:line="120" w:lineRule="auto"/>
      <w:ind w:firstLine="840" w:firstLineChars="400"/>
      <w:jc w:val="left"/>
    </w:pPr>
    <w:rPr>
      <w:kern w:val="0"/>
      <w:sz w:val="20"/>
      <w:szCs w:val="24"/>
    </w:rPr>
  </w:style>
  <w:style w:type="paragraph" w:styleId="26">
    <w:name w:val="Balloon Text"/>
    <w:basedOn w:val="1"/>
    <w:link w:val="70"/>
    <w:semiHidden/>
    <w:qFormat/>
    <w:uiPriority w:val="99"/>
    <w:rPr>
      <w:kern w:val="0"/>
      <w:sz w:val="18"/>
      <w:szCs w:val="18"/>
    </w:rPr>
  </w:style>
  <w:style w:type="paragraph" w:styleId="27">
    <w:name w:val="footer"/>
    <w:basedOn w:val="1"/>
    <w:link w:val="71"/>
    <w:unhideWhenUsed/>
    <w:qFormat/>
    <w:uiPriority w:val="99"/>
    <w:pPr>
      <w:tabs>
        <w:tab w:val="center" w:pos="4153"/>
        <w:tab w:val="right" w:pos="8306"/>
      </w:tabs>
      <w:snapToGrid w:val="0"/>
      <w:jc w:val="left"/>
    </w:pPr>
    <w:rPr>
      <w:rFonts w:ascii="Calibri" w:hAnsi="Calibri"/>
      <w:kern w:val="0"/>
      <w:sz w:val="18"/>
      <w:szCs w:val="18"/>
    </w:rPr>
  </w:style>
  <w:style w:type="paragraph" w:styleId="28">
    <w:name w:val="envelope return"/>
    <w:basedOn w:val="1"/>
    <w:qFormat/>
    <w:uiPriority w:val="99"/>
    <w:rPr>
      <w:rFonts w:ascii="Arial" w:hAnsi="Arial"/>
    </w:rPr>
  </w:style>
  <w:style w:type="paragraph" w:styleId="29">
    <w:name w:val="header"/>
    <w:basedOn w:val="1"/>
    <w:link w:val="72"/>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30">
    <w:name w:val="toc 1"/>
    <w:basedOn w:val="1"/>
    <w:next w:val="1"/>
    <w:semiHidden/>
    <w:qFormat/>
    <w:uiPriority w:val="0"/>
    <w:pPr>
      <w:spacing w:before="120" w:after="120"/>
      <w:jc w:val="left"/>
    </w:pPr>
    <w:rPr>
      <w:b/>
      <w:bCs/>
      <w:caps/>
      <w:szCs w:val="24"/>
    </w:rPr>
  </w:style>
  <w:style w:type="paragraph" w:styleId="31">
    <w:name w:val="toc 4"/>
    <w:basedOn w:val="1"/>
    <w:next w:val="1"/>
    <w:semiHidden/>
    <w:qFormat/>
    <w:uiPriority w:val="0"/>
    <w:pPr>
      <w:ind w:left="630"/>
      <w:jc w:val="left"/>
    </w:pPr>
    <w:rPr>
      <w:szCs w:val="21"/>
    </w:rPr>
  </w:style>
  <w:style w:type="paragraph" w:styleId="32">
    <w:name w:val="Subtitle"/>
    <w:basedOn w:val="1"/>
    <w:next w:val="1"/>
    <w:link w:val="73"/>
    <w:qFormat/>
    <w:uiPriority w:val="11"/>
    <w:pPr>
      <w:spacing w:before="240" w:after="60" w:line="312" w:lineRule="auto"/>
      <w:jc w:val="center"/>
      <w:outlineLvl w:val="1"/>
    </w:pPr>
    <w:rPr>
      <w:rFonts w:ascii="Cambria" w:hAnsi="Cambria"/>
      <w:b/>
      <w:bCs/>
      <w:kern w:val="28"/>
      <w:sz w:val="32"/>
      <w:szCs w:val="32"/>
    </w:rPr>
  </w:style>
  <w:style w:type="paragraph" w:styleId="33">
    <w:name w:val="toc 6"/>
    <w:basedOn w:val="1"/>
    <w:next w:val="1"/>
    <w:semiHidden/>
    <w:qFormat/>
    <w:uiPriority w:val="0"/>
    <w:pPr>
      <w:ind w:left="1050"/>
      <w:jc w:val="left"/>
    </w:pPr>
    <w:rPr>
      <w:szCs w:val="21"/>
    </w:rPr>
  </w:style>
  <w:style w:type="paragraph" w:styleId="34">
    <w:name w:val="Body Text Indent 3"/>
    <w:basedOn w:val="1"/>
    <w:link w:val="74"/>
    <w:qFormat/>
    <w:uiPriority w:val="0"/>
    <w:pPr>
      <w:spacing w:line="360" w:lineRule="auto"/>
      <w:ind w:firstLine="482" w:firstLineChars="200"/>
    </w:pPr>
    <w:rPr>
      <w:b/>
      <w:bCs/>
      <w:kern w:val="0"/>
      <w:sz w:val="24"/>
      <w:szCs w:val="24"/>
    </w:rPr>
  </w:style>
  <w:style w:type="paragraph" w:styleId="35">
    <w:name w:val="toc 2"/>
    <w:basedOn w:val="1"/>
    <w:next w:val="1"/>
    <w:semiHidden/>
    <w:qFormat/>
    <w:uiPriority w:val="0"/>
    <w:pPr>
      <w:tabs>
        <w:tab w:val="right" w:leader="dot" w:pos="8296"/>
      </w:tabs>
      <w:ind w:left="210"/>
      <w:jc w:val="left"/>
    </w:pPr>
    <w:rPr>
      <w:smallCaps/>
      <w:szCs w:val="24"/>
      <w:lang w:val="en-US" w:eastAsia="zh-CN"/>
    </w:rPr>
  </w:style>
  <w:style w:type="paragraph" w:styleId="36">
    <w:name w:val="toc 9"/>
    <w:basedOn w:val="1"/>
    <w:next w:val="1"/>
    <w:semiHidden/>
    <w:qFormat/>
    <w:uiPriority w:val="0"/>
    <w:pPr>
      <w:ind w:left="1680"/>
      <w:jc w:val="left"/>
    </w:pPr>
    <w:rPr>
      <w:szCs w:val="21"/>
    </w:rPr>
  </w:style>
  <w:style w:type="paragraph" w:styleId="3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sz w:val="24"/>
    </w:rPr>
  </w:style>
  <w:style w:type="paragraph" w:styleId="38">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9">
    <w:name w:val="Normal (Web)"/>
    <w:basedOn w:val="1"/>
    <w:qFormat/>
    <w:uiPriority w:val="99"/>
    <w:rPr>
      <w:sz w:val="24"/>
      <w:szCs w:val="24"/>
    </w:rPr>
  </w:style>
  <w:style w:type="paragraph" w:styleId="40">
    <w:name w:val="Title"/>
    <w:basedOn w:val="1"/>
    <w:next w:val="1"/>
    <w:link w:val="77"/>
    <w:qFormat/>
    <w:uiPriority w:val="0"/>
    <w:pPr>
      <w:spacing w:before="240" w:after="60"/>
      <w:jc w:val="center"/>
      <w:outlineLvl w:val="0"/>
    </w:pPr>
    <w:rPr>
      <w:rFonts w:ascii="Arial" w:hAnsi="Arial" w:eastAsia="隶书"/>
      <w:b/>
      <w:bCs/>
      <w:kern w:val="0"/>
      <w:sz w:val="32"/>
      <w:szCs w:val="32"/>
    </w:rPr>
  </w:style>
  <w:style w:type="paragraph" w:styleId="41">
    <w:name w:val="annotation subject"/>
    <w:basedOn w:val="15"/>
    <w:next w:val="15"/>
    <w:link w:val="78"/>
    <w:semiHidden/>
    <w:qFormat/>
    <w:uiPriority w:val="99"/>
    <w:pPr>
      <w:autoSpaceDE/>
      <w:autoSpaceDN/>
      <w:adjustRightInd/>
      <w:textAlignment w:val="auto"/>
    </w:pPr>
    <w:rPr>
      <w:b/>
      <w:bCs/>
      <w:szCs w:val="24"/>
    </w:rPr>
  </w:style>
  <w:style w:type="paragraph" w:styleId="42">
    <w:name w:val="Body Text First Indent 2"/>
    <w:basedOn w:val="19"/>
    <w:link w:val="79"/>
    <w:qFormat/>
    <w:uiPriority w:val="0"/>
    <w:pPr>
      <w:spacing w:after="120" w:line="240" w:lineRule="auto"/>
      <w:ind w:left="420" w:leftChars="200"/>
    </w:pPr>
    <w:rPr>
      <w:rFonts w:ascii="Calibri" w:hAnsi="Calibri"/>
      <w:kern w:val="2"/>
      <w:sz w:val="21"/>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22"/>
    <w:rPr>
      <w:b/>
      <w:bCs/>
    </w:rPr>
  </w:style>
  <w:style w:type="character" w:styleId="47">
    <w:name w:val="page number"/>
    <w:qFormat/>
    <w:uiPriority w:val="0"/>
  </w:style>
  <w:style w:type="character" w:styleId="48">
    <w:name w:val="FollowedHyperlink"/>
    <w:qFormat/>
    <w:uiPriority w:val="0"/>
    <w:rPr>
      <w:rFonts w:hint="eastAsia" w:ascii="宋体" w:hAnsi="宋体" w:eastAsia="宋体" w:cs="宋体"/>
      <w:color w:val="0031C1"/>
      <w:sz w:val="18"/>
      <w:szCs w:val="18"/>
      <w:u w:val="none"/>
    </w:rPr>
  </w:style>
  <w:style w:type="character" w:styleId="49">
    <w:name w:val="Emphasis"/>
    <w:qFormat/>
    <w:uiPriority w:val="20"/>
  </w:style>
  <w:style w:type="character" w:styleId="50">
    <w:name w:val="Hyperlink"/>
    <w:qFormat/>
    <w:uiPriority w:val="0"/>
    <w:rPr>
      <w:rFonts w:hint="eastAsia" w:ascii="宋体" w:hAnsi="宋体" w:eastAsia="宋体" w:cs="宋体"/>
      <w:color w:val="0031C1"/>
      <w:sz w:val="18"/>
      <w:szCs w:val="18"/>
      <w:u w:val="none"/>
    </w:rPr>
  </w:style>
  <w:style w:type="character" w:styleId="51">
    <w:name w:val="annotation reference"/>
    <w:unhideWhenUsed/>
    <w:qFormat/>
    <w:uiPriority w:val="99"/>
    <w:rPr>
      <w:sz w:val="21"/>
      <w:szCs w:val="21"/>
    </w:rPr>
  </w:style>
  <w:style w:type="character" w:customStyle="1" w:styleId="52">
    <w:name w:val="标题 1 字符"/>
    <w:link w:val="2"/>
    <w:qFormat/>
    <w:uiPriority w:val="0"/>
    <w:rPr>
      <w:rFonts w:ascii="Times New Roman" w:hAnsi="Times New Roman" w:eastAsia="宋体" w:cs="Times New Roman"/>
      <w:bCs/>
      <w:kern w:val="44"/>
      <w:sz w:val="36"/>
      <w:szCs w:val="36"/>
    </w:rPr>
  </w:style>
  <w:style w:type="character" w:customStyle="1" w:styleId="53">
    <w:name w:val="正文文本 字符"/>
    <w:link w:val="17"/>
    <w:qFormat/>
    <w:uiPriority w:val="0"/>
    <w:rPr>
      <w:rFonts w:ascii="Times New Roman" w:hAnsi="Times New Roman" w:eastAsia="宋体" w:cs="Times New Roman"/>
      <w:b/>
      <w:bCs/>
      <w:sz w:val="24"/>
      <w:szCs w:val="24"/>
    </w:rPr>
  </w:style>
  <w:style w:type="character" w:customStyle="1" w:styleId="54">
    <w:name w:val="标题 2 字符1"/>
    <w:link w:val="3"/>
    <w:qFormat/>
    <w:uiPriority w:val="0"/>
    <w:rPr>
      <w:rFonts w:ascii="宋体" w:hAnsi="宋体" w:eastAsia="宋体" w:cs="Times New Roman"/>
      <w:b/>
      <w:kern w:val="0"/>
      <w:sz w:val="24"/>
      <w:szCs w:val="20"/>
    </w:rPr>
  </w:style>
  <w:style w:type="character" w:customStyle="1" w:styleId="55">
    <w:name w:val="标题 4 字符"/>
    <w:link w:val="5"/>
    <w:qFormat/>
    <w:uiPriority w:val="0"/>
    <w:rPr>
      <w:rFonts w:ascii="Arial" w:hAnsi="Arial" w:eastAsia="黑体" w:cs="Times New Roman"/>
      <w:b/>
      <w:bCs/>
      <w:sz w:val="28"/>
      <w:szCs w:val="28"/>
    </w:rPr>
  </w:style>
  <w:style w:type="character" w:customStyle="1" w:styleId="56">
    <w:name w:val="标题 3 字符"/>
    <w:link w:val="4"/>
    <w:qFormat/>
    <w:uiPriority w:val="0"/>
    <w:rPr>
      <w:rFonts w:ascii="宋体" w:hAnsi="宋体" w:eastAsia="宋体" w:cs="Times New Roman"/>
      <w:b/>
      <w:bCs/>
      <w:sz w:val="28"/>
      <w:szCs w:val="32"/>
    </w:rPr>
  </w:style>
  <w:style w:type="character" w:customStyle="1" w:styleId="57">
    <w:name w:val="标题 5 字符"/>
    <w:link w:val="6"/>
    <w:qFormat/>
    <w:uiPriority w:val="0"/>
    <w:rPr>
      <w:rFonts w:ascii="Times New Roman" w:hAnsi="Times New Roman" w:eastAsia="宋体" w:cs="Times New Roman"/>
      <w:b/>
      <w:sz w:val="28"/>
      <w:szCs w:val="20"/>
    </w:rPr>
  </w:style>
  <w:style w:type="character" w:customStyle="1" w:styleId="58">
    <w:name w:val="正文缩进 字符"/>
    <w:link w:val="7"/>
    <w:qFormat/>
    <w:uiPriority w:val="0"/>
    <w:rPr>
      <w:rFonts w:ascii="Times New Roman" w:hAnsi="Times New Roman" w:eastAsia="宋体" w:cs="Times New Roman"/>
      <w:szCs w:val="20"/>
    </w:rPr>
  </w:style>
  <w:style w:type="character" w:customStyle="1" w:styleId="59">
    <w:name w:val="标题 6 字符"/>
    <w:link w:val="8"/>
    <w:qFormat/>
    <w:uiPriority w:val="0"/>
    <w:rPr>
      <w:rFonts w:ascii="Arial" w:hAnsi="Arial" w:eastAsia="黑体" w:cs="Times New Roman"/>
      <w:b/>
      <w:sz w:val="24"/>
      <w:szCs w:val="20"/>
    </w:rPr>
  </w:style>
  <w:style w:type="character" w:customStyle="1" w:styleId="60">
    <w:name w:val="标题 7 字符"/>
    <w:link w:val="9"/>
    <w:qFormat/>
    <w:uiPriority w:val="0"/>
    <w:rPr>
      <w:rFonts w:ascii="Times New Roman" w:hAnsi="Times New Roman" w:eastAsia="宋体" w:cs="Times New Roman"/>
      <w:b/>
      <w:sz w:val="24"/>
      <w:szCs w:val="20"/>
    </w:rPr>
  </w:style>
  <w:style w:type="character" w:customStyle="1" w:styleId="61">
    <w:name w:val="标题 8 字符"/>
    <w:link w:val="10"/>
    <w:qFormat/>
    <w:uiPriority w:val="0"/>
    <w:rPr>
      <w:rFonts w:ascii="Arial" w:hAnsi="Arial" w:eastAsia="黑体" w:cs="Times New Roman"/>
      <w:sz w:val="24"/>
      <w:szCs w:val="20"/>
    </w:rPr>
  </w:style>
  <w:style w:type="character" w:customStyle="1" w:styleId="62">
    <w:name w:val="标题 9 字符"/>
    <w:link w:val="11"/>
    <w:qFormat/>
    <w:uiPriority w:val="0"/>
    <w:rPr>
      <w:rFonts w:ascii="Arial" w:hAnsi="Arial" w:eastAsia="黑体" w:cs="Times New Roman"/>
      <w:szCs w:val="20"/>
    </w:rPr>
  </w:style>
  <w:style w:type="character" w:customStyle="1" w:styleId="63">
    <w:name w:val="文档结构图 字符"/>
    <w:link w:val="14"/>
    <w:semiHidden/>
    <w:qFormat/>
    <w:uiPriority w:val="0"/>
    <w:rPr>
      <w:rFonts w:ascii="Times New Roman" w:hAnsi="Times New Roman" w:eastAsia="宋体" w:cs="Times New Roman"/>
      <w:szCs w:val="24"/>
      <w:shd w:val="clear" w:color="auto" w:fill="000080"/>
    </w:rPr>
  </w:style>
  <w:style w:type="character" w:customStyle="1" w:styleId="64">
    <w:name w:val="批注文字 字符"/>
    <w:link w:val="15"/>
    <w:semiHidden/>
    <w:qFormat/>
    <w:uiPriority w:val="99"/>
    <w:rPr>
      <w:rFonts w:ascii="宋体" w:hAnsi="Times New Roman" w:eastAsia="宋体" w:cs="Times New Roman"/>
      <w:kern w:val="0"/>
      <w:sz w:val="34"/>
      <w:szCs w:val="20"/>
    </w:rPr>
  </w:style>
  <w:style w:type="character" w:customStyle="1" w:styleId="65">
    <w:name w:val="正文文本 3 字符"/>
    <w:link w:val="16"/>
    <w:qFormat/>
    <w:uiPriority w:val="0"/>
    <w:rPr>
      <w:rFonts w:ascii="Times New Roman" w:hAnsi="Times New Roman" w:eastAsia="宋体" w:cs="Times New Roman"/>
      <w:sz w:val="16"/>
      <w:szCs w:val="16"/>
    </w:rPr>
  </w:style>
  <w:style w:type="character" w:customStyle="1" w:styleId="66">
    <w:name w:val="正文文本缩进 字符"/>
    <w:link w:val="19"/>
    <w:qFormat/>
    <w:uiPriority w:val="0"/>
    <w:rPr>
      <w:rFonts w:ascii="Times New Roman" w:hAnsi="Times New Roman" w:eastAsia="宋体" w:cs="Times New Roman"/>
      <w:szCs w:val="24"/>
    </w:rPr>
  </w:style>
  <w:style w:type="character" w:customStyle="1" w:styleId="67">
    <w:name w:val="纯文本 字符"/>
    <w:link w:val="22"/>
    <w:qFormat/>
    <w:uiPriority w:val="0"/>
    <w:rPr>
      <w:rFonts w:ascii="宋体" w:hAnsi="Courier New" w:eastAsia="宋体" w:cs="Times New Roman"/>
      <w:szCs w:val="20"/>
    </w:rPr>
  </w:style>
  <w:style w:type="character" w:customStyle="1" w:styleId="68">
    <w:name w:val="日期 字符"/>
    <w:link w:val="24"/>
    <w:qFormat/>
    <w:uiPriority w:val="0"/>
    <w:rPr>
      <w:rFonts w:ascii="Calibri" w:hAnsi="Calibri" w:eastAsia="宋体" w:cs="Times New Roman"/>
    </w:rPr>
  </w:style>
  <w:style w:type="character" w:customStyle="1" w:styleId="69">
    <w:name w:val="正文文本缩进 2 字符"/>
    <w:link w:val="25"/>
    <w:qFormat/>
    <w:uiPriority w:val="0"/>
    <w:rPr>
      <w:rFonts w:ascii="宋体" w:hAnsi="宋体" w:eastAsia="宋体" w:cs="Times New Roman"/>
      <w:szCs w:val="24"/>
    </w:rPr>
  </w:style>
  <w:style w:type="character" w:customStyle="1" w:styleId="70">
    <w:name w:val="批注框文本 字符"/>
    <w:link w:val="26"/>
    <w:semiHidden/>
    <w:qFormat/>
    <w:uiPriority w:val="99"/>
    <w:rPr>
      <w:rFonts w:ascii="Times New Roman" w:hAnsi="Times New Roman" w:eastAsia="宋体" w:cs="Times New Roman"/>
      <w:sz w:val="18"/>
      <w:szCs w:val="18"/>
    </w:rPr>
  </w:style>
  <w:style w:type="character" w:customStyle="1" w:styleId="71">
    <w:name w:val="页脚 字符"/>
    <w:link w:val="27"/>
    <w:qFormat/>
    <w:uiPriority w:val="99"/>
    <w:rPr>
      <w:rFonts w:ascii="Calibri" w:hAnsi="Calibri" w:eastAsia="宋体" w:cs="Times New Roman"/>
      <w:sz w:val="18"/>
      <w:szCs w:val="18"/>
    </w:rPr>
  </w:style>
  <w:style w:type="character" w:customStyle="1" w:styleId="72">
    <w:name w:val="页眉 字符"/>
    <w:link w:val="29"/>
    <w:qFormat/>
    <w:uiPriority w:val="0"/>
    <w:rPr>
      <w:rFonts w:ascii="Calibri" w:hAnsi="Calibri" w:eastAsia="宋体" w:cs="Times New Roman"/>
      <w:sz w:val="18"/>
      <w:szCs w:val="18"/>
    </w:rPr>
  </w:style>
  <w:style w:type="character" w:customStyle="1" w:styleId="73">
    <w:name w:val="副标题 字符"/>
    <w:link w:val="32"/>
    <w:qFormat/>
    <w:uiPriority w:val="11"/>
    <w:rPr>
      <w:rFonts w:ascii="Cambria" w:hAnsi="Cambria" w:cs="Times New Roman"/>
      <w:b/>
      <w:bCs/>
      <w:kern w:val="28"/>
      <w:sz w:val="32"/>
      <w:szCs w:val="32"/>
    </w:rPr>
  </w:style>
  <w:style w:type="character" w:customStyle="1" w:styleId="74">
    <w:name w:val="正文文本缩进 3 字符"/>
    <w:link w:val="34"/>
    <w:qFormat/>
    <w:uiPriority w:val="0"/>
    <w:rPr>
      <w:rFonts w:ascii="宋体" w:hAnsi="Times New Roman" w:eastAsia="宋体" w:cs="Times New Roman"/>
      <w:b/>
      <w:bCs/>
      <w:sz w:val="24"/>
      <w:szCs w:val="24"/>
    </w:rPr>
  </w:style>
  <w:style w:type="character" w:customStyle="1" w:styleId="75">
    <w:name w:val="正文文本 2 字符"/>
    <w:link w:val="18"/>
    <w:qFormat/>
    <w:uiPriority w:val="0"/>
    <w:rPr>
      <w:rFonts w:ascii="Times New Roman" w:hAnsi="Times New Roman" w:eastAsia="宋体" w:cs="Times New Roman"/>
      <w:sz w:val="24"/>
      <w:szCs w:val="24"/>
    </w:rPr>
  </w:style>
  <w:style w:type="character" w:customStyle="1" w:styleId="76">
    <w:name w:val="HTML 预设格式 字符"/>
    <w:link w:val="38"/>
    <w:qFormat/>
    <w:uiPriority w:val="0"/>
    <w:rPr>
      <w:rFonts w:ascii="Arial Unicode MS" w:hAnsi="Arial Unicode MS" w:eastAsia="Arial Unicode MS" w:cs="Times New Roman"/>
      <w:color w:val="000000"/>
      <w:kern w:val="0"/>
      <w:sz w:val="20"/>
      <w:szCs w:val="20"/>
    </w:rPr>
  </w:style>
  <w:style w:type="character" w:customStyle="1" w:styleId="77">
    <w:name w:val="标题 字符"/>
    <w:link w:val="40"/>
    <w:qFormat/>
    <w:uiPriority w:val="0"/>
    <w:rPr>
      <w:rFonts w:ascii="Arial" w:hAnsi="Arial" w:eastAsia="隶书" w:cs="Arial"/>
      <w:b/>
      <w:bCs/>
      <w:sz w:val="32"/>
      <w:szCs w:val="32"/>
    </w:rPr>
  </w:style>
  <w:style w:type="character" w:customStyle="1" w:styleId="78">
    <w:name w:val="批注主题 字符"/>
    <w:link w:val="41"/>
    <w:semiHidden/>
    <w:qFormat/>
    <w:uiPriority w:val="99"/>
    <w:rPr>
      <w:rFonts w:ascii="Times New Roman" w:hAnsi="Times New Roman" w:eastAsia="宋体" w:cs="Times New Roman"/>
      <w:b/>
      <w:bCs/>
      <w:kern w:val="0"/>
      <w:sz w:val="34"/>
      <w:szCs w:val="24"/>
    </w:rPr>
  </w:style>
  <w:style w:type="character" w:customStyle="1" w:styleId="79">
    <w:name w:val="正文文本首行缩进 2 字符"/>
    <w:link w:val="42"/>
    <w:qFormat/>
    <w:uiPriority w:val="0"/>
    <w:rPr>
      <w:rFonts w:ascii="Calibri" w:hAnsi="Calibri" w:eastAsia="宋体" w:cs="Times New Roman"/>
      <w:kern w:val="2"/>
      <w:sz w:val="21"/>
      <w:szCs w:val="24"/>
    </w:rPr>
  </w:style>
  <w:style w:type="paragraph" w:customStyle="1" w:styleId="80">
    <w:name w:val="Default"/>
    <w:qFormat/>
    <w:uiPriority w:val="99"/>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81">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82">
    <w:name w:val="标题 3 Char"/>
    <w:qFormat/>
    <w:uiPriority w:val="0"/>
    <w:rPr>
      <w:b/>
      <w:bCs/>
      <w:sz w:val="32"/>
      <w:szCs w:val="32"/>
    </w:rPr>
  </w:style>
  <w:style w:type="character" w:customStyle="1" w:styleId="83">
    <w:name w:val="font112"/>
    <w:qFormat/>
    <w:uiPriority w:val="0"/>
    <w:rPr>
      <w:rFonts w:hint="eastAsia" w:ascii="宋体" w:hAnsi="宋体" w:eastAsia="宋体" w:cs="宋体"/>
      <w:color w:val="000000"/>
      <w:sz w:val="24"/>
      <w:szCs w:val="24"/>
      <w:u w:val="none"/>
      <w:vertAlign w:val="superscript"/>
    </w:rPr>
  </w:style>
  <w:style w:type="character" w:customStyle="1" w:styleId="84">
    <w:name w:val="active"/>
    <w:qFormat/>
    <w:uiPriority w:val="0"/>
    <w:rPr>
      <w:color w:val="FFFFFF"/>
    </w:rPr>
  </w:style>
  <w:style w:type="character" w:customStyle="1" w:styleId="85">
    <w:name w:val="hilite"/>
    <w:qFormat/>
    <w:uiPriority w:val="0"/>
    <w:rPr>
      <w:color w:val="000000"/>
    </w:rPr>
  </w:style>
  <w:style w:type="character" w:customStyle="1" w:styleId="86">
    <w:name w:val="font51"/>
    <w:qFormat/>
    <w:uiPriority w:val="0"/>
    <w:rPr>
      <w:rFonts w:hint="default" w:ascii="Times New Roman" w:hAnsi="Times New Roman" w:cs="Times New Roman"/>
      <w:color w:val="000000"/>
      <w:sz w:val="24"/>
      <w:szCs w:val="24"/>
      <w:u w:val="none"/>
      <w:vertAlign w:val="superscript"/>
    </w:rPr>
  </w:style>
  <w:style w:type="character" w:customStyle="1" w:styleId="87">
    <w:name w:val="font91"/>
    <w:qFormat/>
    <w:uiPriority w:val="0"/>
    <w:rPr>
      <w:rFonts w:hint="eastAsia" w:ascii="宋体" w:hAnsi="宋体" w:eastAsia="宋体" w:cs="宋体"/>
      <w:color w:val="000000"/>
      <w:sz w:val="24"/>
      <w:szCs w:val="24"/>
      <w:u w:val="none"/>
    </w:rPr>
  </w:style>
  <w:style w:type="character" w:customStyle="1" w:styleId="88">
    <w:name w:val="标题 2 字符"/>
    <w:qFormat/>
    <w:uiPriority w:val="0"/>
    <w:rPr>
      <w:rFonts w:ascii="宋体" w:hAnsi="宋体" w:eastAsia="宋体" w:cs="Times New Roman"/>
      <w:b/>
      <w:kern w:val="0"/>
      <w:sz w:val="24"/>
      <w:szCs w:val="20"/>
    </w:rPr>
  </w:style>
  <w:style w:type="character" w:customStyle="1" w:styleId="89">
    <w:name w:val="font21"/>
    <w:qFormat/>
    <w:uiPriority w:val="0"/>
    <w:rPr>
      <w:rFonts w:hint="eastAsia" w:ascii="宋体" w:hAnsi="宋体" w:eastAsia="宋体" w:cs="宋体"/>
      <w:color w:val="000000"/>
      <w:sz w:val="21"/>
      <w:szCs w:val="21"/>
      <w:u w:val="none"/>
    </w:rPr>
  </w:style>
  <w:style w:type="character" w:customStyle="1" w:styleId="90">
    <w:name w:val="font11"/>
    <w:qFormat/>
    <w:uiPriority w:val="0"/>
    <w:rPr>
      <w:rFonts w:hint="eastAsia" w:ascii="宋体" w:hAnsi="宋体" w:eastAsia="宋体" w:cs="宋体"/>
      <w:color w:val="000000"/>
      <w:sz w:val="18"/>
      <w:szCs w:val="18"/>
      <w:u w:val="none"/>
    </w:rPr>
  </w:style>
  <w:style w:type="character" w:customStyle="1" w:styleId="91">
    <w:name w:val="标题21"/>
    <w:qFormat/>
    <w:uiPriority w:val="0"/>
  </w:style>
  <w:style w:type="character" w:customStyle="1" w:styleId="92">
    <w:name w:val="font31"/>
    <w:qFormat/>
    <w:uiPriority w:val="0"/>
    <w:rPr>
      <w:rFonts w:hint="eastAsia" w:ascii="宋体" w:hAnsi="宋体" w:eastAsia="宋体" w:cs="宋体"/>
      <w:color w:val="FF0000"/>
      <w:sz w:val="18"/>
      <w:szCs w:val="18"/>
      <w:u w:val="none"/>
    </w:rPr>
  </w:style>
  <w:style w:type="character" w:customStyle="1" w:styleId="93">
    <w:name w:val="Book Title"/>
    <w:qFormat/>
    <w:uiPriority w:val="33"/>
    <w:rPr>
      <w:b/>
      <w:bCs/>
      <w:smallCaps/>
      <w:spacing w:val="5"/>
    </w:rPr>
  </w:style>
  <w:style w:type="character" w:customStyle="1" w:styleId="94">
    <w:name w:val="fielderror"/>
    <w:qFormat/>
    <w:uiPriority w:val="0"/>
    <w:rPr>
      <w:color w:val="800000"/>
    </w:rPr>
  </w:style>
  <w:style w:type="character" w:customStyle="1" w:styleId="95">
    <w:name w:val="inline-help"/>
    <w:qFormat/>
    <w:uiPriority w:val="0"/>
  </w:style>
  <w:style w:type="character" w:customStyle="1" w:styleId="96">
    <w:name w:val="font01"/>
    <w:qFormat/>
    <w:uiPriority w:val="0"/>
    <w:rPr>
      <w:rFonts w:hint="eastAsia" w:ascii="宋体" w:hAnsi="宋体" w:eastAsia="宋体" w:cs="宋体"/>
      <w:color w:val="FF0000"/>
      <w:sz w:val="18"/>
      <w:szCs w:val="18"/>
      <w:u w:val="none"/>
    </w:rPr>
  </w:style>
  <w:style w:type="character" w:customStyle="1" w:styleId="97">
    <w:name w:val="font101"/>
    <w:qFormat/>
    <w:uiPriority w:val="0"/>
    <w:rPr>
      <w:rFonts w:ascii="新宋体" w:hAnsi="新宋体" w:eastAsia="新宋体" w:cs="新宋体"/>
      <w:color w:val="000000"/>
      <w:sz w:val="24"/>
      <w:szCs w:val="24"/>
      <w:u w:val="none"/>
    </w:rPr>
  </w:style>
  <w:style w:type="character" w:customStyle="1" w:styleId="98">
    <w:name w:val="font41"/>
    <w:qFormat/>
    <w:uiPriority w:val="0"/>
    <w:rPr>
      <w:rFonts w:hint="eastAsia" w:ascii="宋体" w:hAnsi="宋体" w:eastAsia="宋体" w:cs="宋体"/>
      <w:color w:val="000000"/>
      <w:sz w:val="18"/>
      <w:szCs w:val="18"/>
      <w:u w:val="none"/>
    </w:rPr>
  </w:style>
  <w:style w:type="character" w:customStyle="1" w:styleId="99">
    <w:name w:val="title"/>
    <w:qFormat/>
    <w:uiPriority w:val="0"/>
  </w:style>
  <w:style w:type="character" w:customStyle="1" w:styleId="100">
    <w:name w:val="font61"/>
    <w:qFormat/>
    <w:uiPriority w:val="0"/>
    <w:rPr>
      <w:rFonts w:hint="default" w:ascii="Times New Roman" w:hAnsi="Times New Roman" w:cs="Times New Roman"/>
      <w:color w:val="000000"/>
      <w:sz w:val="24"/>
      <w:szCs w:val="24"/>
      <w:u w:val="none"/>
    </w:rPr>
  </w:style>
  <w:style w:type="paragraph" w:customStyle="1" w:styleId="101">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02">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103">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04">
    <w:name w:val="Normal_0"/>
    <w:qFormat/>
    <w:uiPriority w:val="99"/>
    <w:pPr>
      <w:spacing w:before="120" w:after="240"/>
      <w:jc w:val="both"/>
    </w:pPr>
    <w:rPr>
      <w:rFonts w:ascii="Times New Roman" w:hAnsi="Times New Roman" w:eastAsia="微软雅黑" w:cs="Times New Roman"/>
      <w:sz w:val="22"/>
      <w:szCs w:val="22"/>
      <w:lang w:val="en-US" w:eastAsia="en-US" w:bidi="ar-SA"/>
    </w:r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szCs w:val="24"/>
    </w:rPr>
  </w:style>
  <w:style w:type="paragraph" w:customStyle="1" w:styleId="106">
    <w:name w:val="图标题"/>
    <w:basedOn w:val="1"/>
    <w:qFormat/>
    <w:uiPriority w:val="0"/>
    <w:pPr>
      <w:numPr>
        <w:ilvl w:val="8"/>
        <w:numId w:val="1"/>
      </w:numPr>
      <w:tabs>
        <w:tab w:val="left" w:pos="2040"/>
      </w:tabs>
      <w:adjustRightInd w:val="0"/>
      <w:spacing w:line="360" w:lineRule="atLeast"/>
      <w:jc w:val="left"/>
      <w:textAlignment w:val="baseline"/>
    </w:pPr>
    <w:rPr>
      <w:kern w:val="0"/>
      <w:sz w:val="24"/>
      <w:szCs w:val="20"/>
    </w:rPr>
  </w:style>
  <w:style w:type="paragraph" w:styleId="107">
    <w:name w:val="List Paragraph"/>
    <w:basedOn w:val="1"/>
    <w:qFormat/>
    <w:uiPriority w:val="34"/>
    <w:pPr>
      <w:ind w:firstLine="420" w:firstLineChars="200"/>
    </w:pPr>
  </w:style>
  <w:style w:type="paragraph" w:customStyle="1" w:styleId="108">
    <w:name w:val="样式41"/>
    <w:basedOn w:val="1"/>
    <w:qFormat/>
    <w:uiPriority w:val="0"/>
    <w:pPr>
      <w:tabs>
        <w:tab w:val="left" w:pos="945"/>
        <w:tab w:val="left" w:pos="2040"/>
      </w:tabs>
      <w:spacing w:line="360" w:lineRule="auto"/>
      <w:ind w:left="2040" w:leftChars="800" w:hanging="360" w:hangingChars="200"/>
    </w:pPr>
    <w:rPr>
      <w:b/>
      <w:color w:val="000000"/>
      <w:sz w:val="24"/>
      <w:szCs w:val="20"/>
    </w:rPr>
  </w:style>
  <w:style w:type="paragraph" w:customStyle="1" w:styleId="109">
    <w:name w:val="Char Char Char Char Char Char Char1"/>
    <w:basedOn w:val="1"/>
    <w:qFormat/>
    <w:uiPriority w:val="0"/>
    <w:pPr>
      <w:widowControl/>
      <w:spacing w:after="160" w:line="240" w:lineRule="exact"/>
      <w:jc w:val="left"/>
    </w:pPr>
    <w:rPr>
      <w:szCs w:val="24"/>
    </w:rPr>
  </w:style>
  <w:style w:type="paragraph" w:customStyle="1" w:styleId="110">
    <w:name w:val="正文段落"/>
    <w:basedOn w:val="1"/>
    <w:qFormat/>
    <w:uiPriority w:val="99"/>
    <w:pPr>
      <w:spacing w:line="360" w:lineRule="auto"/>
      <w:ind w:firstLine="440" w:firstLineChars="200"/>
    </w:pPr>
    <w:rPr>
      <w:rFonts w:ascii="宋体" w:hAnsi="宋体" w:cs="宋体"/>
      <w:szCs w:val="20"/>
    </w:rPr>
  </w:style>
  <w:style w:type="paragraph" w:customStyle="1" w:styleId="111">
    <w:name w:val="paragraphinden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2">
    <w:name w:val="正文 New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13">
    <w:name w:val="Revision"/>
    <w:unhideWhenUsed/>
    <w:qFormat/>
    <w:uiPriority w:val="99"/>
    <w:rPr>
      <w:rFonts w:ascii="Times New Roman" w:hAnsi="Times New Roman" w:eastAsia="宋体" w:cs="Times New Roman"/>
      <w:kern w:val="2"/>
      <w:sz w:val="21"/>
      <w:szCs w:val="22"/>
      <w:lang w:val="en-US" w:eastAsia="zh-CN" w:bidi="ar-SA"/>
    </w:rPr>
  </w:style>
  <w:style w:type="paragraph" w:customStyle="1" w:styleId="114">
    <w:name w:val="Char Char Char Char Char Char Char"/>
    <w:basedOn w:val="1"/>
    <w:qFormat/>
    <w:uiPriority w:val="0"/>
    <w:pPr>
      <w:widowControl/>
      <w:spacing w:after="160" w:line="240" w:lineRule="exact"/>
      <w:jc w:val="left"/>
    </w:pPr>
    <w:rPr>
      <w:szCs w:val="24"/>
    </w:rPr>
  </w:style>
  <w:style w:type="paragraph" w:customStyle="1" w:styleId="115">
    <w:name w:val="_Style 6"/>
    <w:next w:val="1"/>
    <w:qFormat/>
    <w:uiPriority w:val="0"/>
    <w:pPr>
      <w:widowControl w:val="0"/>
      <w:pBdr>
        <w:bottom w:val="single" w:color="auto" w:sz="6" w:space="1"/>
      </w:pBdr>
      <w:jc w:val="center"/>
    </w:pPr>
    <w:rPr>
      <w:rFonts w:ascii="Arial" w:hAnsi="Times New Roman" w:eastAsia="宋体" w:cs="Times New Roman"/>
      <w:vanish/>
      <w:kern w:val="2"/>
      <w:sz w:val="16"/>
      <w:lang w:val="en-US" w:eastAsia="zh-CN" w:bidi="ar-SA"/>
    </w:rPr>
  </w:style>
  <w:style w:type="paragraph" w:customStyle="1" w:styleId="116">
    <w:name w:val="列出段落1"/>
    <w:basedOn w:val="1"/>
    <w:qFormat/>
    <w:uiPriority w:val="34"/>
    <w:pPr>
      <w:ind w:firstLine="420" w:firstLineChars="200"/>
    </w:pPr>
    <w:rPr>
      <w:szCs w:val="24"/>
    </w:rPr>
  </w:style>
  <w:style w:type="paragraph" w:customStyle="1" w:styleId="117">
    <w:name w:val="_Style 5"/>
    <w:next w:val="1"/>
    <w:qFormat/>
    <w:uiPriority w:val="0"/>
    <w:pPr>
      <w:widowControl w:val="0"/>
      <w:pBdr>
        <w:top w:val="single" w:color="auto" w:sz="6" w:space="1"/>
      </w:pBdr>
      <w:jc w:val="center"/>
    </w:pPr>
    <w:rPr>
      <w:rFonts w:ascii="Arial" w:hAnsi="Times New Roman" w:eastAsia="宋体" w:cs="Times New Roman"/>
      <w:vanish/>
      <w:kern w:val="2"/>
      <w:sz w:val="16"/>
      <w:lang w:val="en-US" w:eastAsia="zh-CN" w:bidi="ar-SA"/>
    </w:rPr>
  </w:style>
  <w:style w:type="paragraph" w:customStyle="1" w:styleId="118">
    <w:name w:val="自定义正文"/>
    <w:basedOn w:val="1"/>
    <w:qFormat/>
    <w:uiPriority w:val="0"/>
    <w:pPr>
      <w:spacing w:afterLines="50"/>
      <w:ind w:left="600" w:leftChars="600"/>
    </w:pPr>
    <w:rPr>
      <w:szCs w:val="24"/>
    </w:rPr>
  </w:style>
  <w:style w:type="paragraph" w:customStyle="1" w:styleId="119">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121">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122">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2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4">
    <w:name w:val="Char Char Char Char Char"/>
    <w:basedOn w:val="1"/>
    <w:qFormat/>
    <w:uiPriority w:val="0"/>
    <w:rPr>
      <w:rFonts w:ascii="Tahoma" w:hAnsi="Tahoma"/>
      <w:sz w:val="24"/>
      <w:szCs w:val="20"/>
    </w:rPr>
  </w:style>
  <w:style w:type="paragraph" w:customStyle="1" w:styleId="125">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6">
    <w:name w:val="列出段落2"/>
    <w:basedOn w:val="1"/>
    <w:qFormat/>
    <w:uiPriority w:val="99"/>
    <w:pPr>
      <w:ind w:firstLine="420" w:firstLineChars="200"/>
    </w:pPr>
  </w:style>
  <w:style w:type="paragraph" w:customStyle="1" w:styleId="127">
    <w:name w:val="Char Char"/>
    <w:basedOn w:val="1"/>
    <w:qFormat/>
    <w:uiPriority w:val="0"/>
    <w:rPr>
      <w:rFonts w:ascii="Tahoma" w:hAnsi="Tahoma"/>
      <w:sz w:val="24"/>
      <w:szCs w:val="20"/>
    </w:rPr>
  </w:style>
  <w:style w:type="paragraph" w:customStyle="1" w:styleId="128">
    <w:name w:val="List Paragraph1"/>
    <w:basedOn w:val="1"/>
    <w:unhideWhenUsed/>
    <w:qFormat/>
    <w:uiPriority w:val="0"/>
    <w:pPr>
      <w:ind w:firstLine="420" w:firstLineChars="200"/>
    </w:pPr>
  </w:style>
  <w:style w:type="character" w:customStyle="1" w:styleId="129">
    <w:name w:val="swiper-pagination-bullet-active8"/>
    <w:qFormat/>
    <w:uiPriority w:val="0"/>
    <w:rPr>
      <w:shd w:val="clear" w:color="auto" w:fill="AF251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108</Pages>
  <Words>3628</Words>
  <Characters>3691</Characters>
  <Lines>424</Lines>
  <Paragraphs>119</Paragraphs>
  <TotalTime>7</TotalTime>
  <ScaleCrop>false</ScaleCrop>
  <LinksUpToDate>false</LinksUpToDate>
  <CharactersWithSpaces>3730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2024-07-21T14:17:00Z</dcterms:created>
  <dc:creator>Administrator</dc:creator>
  <cp:lastModifiedBy>东海国际</cp:lastModifiedBy>
  <cp:lastPrinted>2024-07-22T08:01:00Z</cp:lastPrinted>
  <dcterms:modified xsi:type="dcterms:W3CDTF">2025-10-31T11:48:31Z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4B7C0B912784424A95DB4725E2699517_13</vt:lpwstr>
  </property>
  <property fmtid="{D5CDD505-2E9C-101B-9397-08002B2CF9AE}" pid="4" name="KSOTemplateDocerSaveRecord">
    <vt:lpwstr>eyJoZGlkIjoiYjEwYjIzY2QwNzhkNzJhMDQ5ZTM1YWM2YmI5ZWY1OWUiLCJ1c2VySWQiOiIxMTQwMDYwNTgwIn0=</vt:lpwstr>
  </property>
</Properties>
</file>